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>
      <w:pPr>
        <w:spacing w:after="80"/>
        <w:jc w:val="center"/>
      </w:pPr>
      <w:r>
        <w:rPr>
          <w:b w:val="0"/>
          <w:i w:val="0"/>
          <w:color w:val="116DC3"/>
          <w:sz w:val="26"/>
        </w:rPr>
        <w:t>Exhibition Automation Platform — 사업수행계획서</w:t>
      </w:r>
    </w:p>
    <w:p>
      <w:pPr>
        <w:jc w:val="center"/>
      </w:pPr>
      <w:r>
        <w:rPr>
          <w:b/>
          <w:color w:val="1F293A"/>
          <w:sz w:val="48"/>
        </w:rPr>
        <w:t>킨텍스 자동전시시스템 구축 사업수행계획서</w:t>
      </w:r>
    </w:p>
    <w:p/>
    <w:p>
      <w:pPr>
        <w:spacing w:after="120"/>
        <w:jc w:val="center"/>
      </w:pPr>
      <w:r>
        <w:rPr>
          <w:b w:val="0"/>
          <w:i w:val="0"/>
          <w:color w:val="555F6B"/>
          <w:sz w:val="22"/>
        </w:rPr>
        <w:t>행정안전부 정보화사업 산출물 표준 목차 준용</w:t>
      </w:r>
    </w:p>
    <w:p/>
    <w:p/>
    <w:p/>
    <w:p/>
    <w:p/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16"/>
        <w:gridCol w:w="4816"/>
      </w:tblGrid>
      <w:tr>
        <w:tc>
          <w:tcPr>
            <w:tcW w:type="dxa" w:w="2551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6520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내용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문서명</w:t>
            </w:r>
          </w:p>
        </w:tc>
        <w:tc>
          <w:tcPr>
            <w:tcW w:type="dxa" w:w="6520"/>
          </w:tcPr>
          <w:p>
            <w:pPr>
              <w:spacing w:after="20"/>
            </w:pPr>
            <w:r/>
            <w:r>
              <w:rPr>
                <w:sz w:val="19"/>
              </w:rPr>
              <w:t>킨텍스 자동전시시스템 구축 사업수행계획서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문서 버전</w:t>
            </w:r>
          </w:p>
        </w:tc>
        <w:tc>
          <w:tcPr>
            <w:tcW w:type="dxa" w:w="6520"/>
          </w:tcPr>
          <w:p>
            <w:pPr>
              <w:spacing w:after="20"/>
            </w:pPr>
            <w:r/>
            <w:r>
              <w:rPr>
                <w:sz w:val="19"/>
              </w:rPr>
              <w:t>v1.0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작성일</w:t>
            </w:r>
          </w:p>
        </w:tc>
        <w:tc>
          <w:tcPr>
            <w:tcW w:type="dxa" w:w="6520"/>
          </w:tcPr>
          <w:p>
            <w:pPr>
              <w:spacing w:after="20"/>
            </w:pPr>
            <w:r/>
            <w:r>
              <w:rPr>
                <w:sz w:val="19"/>
              </w:rPr>
              <w:t>2026-07-11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작성 주관</w:t>
            </w:r>
          </w:p>
        </w:tc>
        <w:tc>
          <w:tcPr>
            <w:tcW w:type="dxa" w:w="6520"/>
          </w:tcPr>
          <w:p>
            <w:pPr>
              <w:spacing w:after="20"/>
            </w:pPr>
            <w:r/>
            <w:r>
              <w:rPr>
                <w:sz w:val="19"/>
              </w:rPr>
              <w:t>지오정보기술(주) — GUARDiA 플랫폼 사업본부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발주처(수요기관)</w:t>
            </w:r>
          </w:p>
        </w:tc>
        <w:tc>
          <w:tcPr>
            <w:tcW w:type="dxa" w:w="6520"/>
          </w:tcPr>
          <w:p>
            <w:pPr>
              <w:spacing w:after="20"/>
            </w:pPr>
            <w:r/>
            <w:r>
              <w:rPr>
                <w:sz w:val="19"/>
              </w:rPr>
              <w:t>킨텍스(KINTEX, 한국국제전시장)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사업 유형</w:t>
            </w:r>
          </w:p>
        </w:tc>
        <w:tc>
          <w:tcPr>
            <w:tcW w:type="dxa" w:w="6520"/>
          </w:tcPr>
          <w:p>
            <w:pPr>
              <w:spacing w:after="20"/>
            </w:pPr>
            <w:r/>
            <w:r>
              <w:rPr>
                <w:sz w:val="19"/>
              </w:rPr>
              <w:t>정보시스템 구축(SI) — AI 기반 전시 운영 자동화 플랫폼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보안 등급</w:t>
            </w:r>
          </w:p>
        </w:tc>
        <w:tc>
          <w:tcPr>
            <w:tcW w:type="dxa" w:w="6520"/>
          </w:tcPr>
          <w:p>
            <w:pPr>
              <w:spacing w:after="20"/>
            </w:pPr>
            <w:r/>
            <w:r>
              <w:rPr>
                <w:sz w:val="19"/>
              </w:rPr>
              <w:t>대외비 — 자격증명·내부망 정보 미기재</w:t>
            </w:r>
          </w:p>
        </w:tc>
      </w:tr>
    </w:tbl>
    <w:p>
      <w:pPr>
        <w:spacing w:after="80"/>
      </w:pPr>
    </w:p>
    <w:p>
      <w:r>
        <w:br w:type="page"/>
      </w:r>
    </w:p>
    <w:p>
      <w:pPr>
        <w:pStyle w:val="Heading1"/>
      </w:pPr>
      <w:r>
        <w:rPr>
          <w:color w:val="1F293A"/>
        </w:rPr>
        <w:t>문서 정보 및 개정 이력</w:t>
      </w:r>
    </w:p>
    <w:p>
      <w:pPr>
        <w:pStyle w:val="Heading2"/>
      </w:pPr>
      <w:r>
        <w:rPr>
          <w:color w:val="116DC3"/>
        </w:rPr>
        <w:t>문서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16"/>
        <w:gridCol w:w="4816"/>
      </w:tblGrid>
      <w:tr>
        <w:tc>
          <w:tcPr>
            <w:tcW w:type="dxa" w:w="2551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6520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내용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문서 제목</w:t>
            </w:r>
          </w:p>
        </w:tc>
        <w:tc>
          <w:tcPr>
            <w:tcW w:type="dxa" w:w="6520"/>
          </w:tcPr>
          <w:p>
            <w:pPr>
              <w:spacing w:after="20"/>
            </w:pPr>
            <w:r/>
            <w:r>
              <w:rPr>
                <w:sz w:val="19"/>
              </w:rPr>
              <w:t>킨텍스 자동전시시스템 구축 사업수행계획서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산출 단계</w:t>
            </w:r>
          </w:p>
        </w:tc>
        <w:tc>
          <w:tcPr>
            <w:tcW w:type="dxa" w:w="6520"/>
          </w:tcPr>
          <w:p>
            <w:pPr>
              <w:spacing w:after="20"/>
            </w:pPr>
            <w:r/>
            <w:r>
              <w:rPr>
                <w:sz w:val="19"/>
              </w:rPr>
              <w:t>사업 착수(계획) 단계 표준 산출물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표준 근거</w:t>
            </w:r>
          </w:p>
        </w:tc>
        <w:tc>
          <w:tcPr>
            <w:tcW w:type="dxa" w:w="6520"/>
          </w:tcPr>
          <w:p>
            <w:pPr>
              <w:spacing w:after="20"/>
            </w:pPr>
            <w:r/>
            <w:r>
              <w:rPr>
                <w:sz w:val="19"/>
              </w:rPr>
              <w:t>행정안전부 정보화사업 산출물 표준 목차 준용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작성 근거 문서</w:t>
            </w:r>
          </w:p>
        </w:tc>
        <w:tc>
          <w:tcPr>
            <w:tcW w:type="dxa" w:w="6520"/>
          </w:tcPr>
          <w:p>
            <w:pPr>
              <w:spacing w:after="20"/>
            </w:pPr>
            <w:r/>
            <w:r>
              <w:rPr>
                <w:sz w:val="19"/>
              </w:rPr>
              <w:t>PLANNING v3.0 · IMPLEMENTATION_BACKLOG · FEATURE_BACKLOG_100 · GUARDIA_ALIGNMENT · SECURITY · architecture/*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b/>
                <w:sz w:val="19"/>
              </w:rPr>
              <w:t>문서 관리</w:t>
            </w:r>
          </w:p>
        </w:tc>
        <w:tc>
          <w:tcPr>
            <w:tcW w:type="dxa" w:w="6520"/>
          </w:tcPr>
          <w:p>
            <w:pPr>
              <w:spacing w:after="20"/>
            </w:pPr>
            <w:r/>
            <w:r>
              <w:rPr>
                <w:sz w:val="19"/>
              </w:rPr>
              <w:t>형상관리(Git) 하 버전 통제 — docs/deliverables/ 관리, _gen 재실행으로 재생성</w:t>
            </w:r>
          </w:p>
        </w:tc>
      </w:tr>
    </w:tbl>
    <w:p>
      <w:pPr>
        <w:spacing w:after="80"/>
      </w:pPr>
    </w:p>
    <w:p>
      <w:pPr>
        <w:pStyle w:val="Heading2"/>
      </w:pPr>
      <w:r>
        <w:rPr>
          <w:color w:val="116DC3"/>
        </w:rPr>
        <w:t>개정 이력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08"/>
        <w:gridCol w:w="2408"/>
        <w:gridCol w:w="2408"/>
        <w:gridCol w:w="2408"/>
      </w:tblGrid>
      <w:tr>
        <w:tc>
          <w:tcPr>
            <w:tcW w:type="dxa" w:w="1134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버전</w:t>
            </w:r>
          </w:p>
        </w:tc>
        <w:tc>
          <w:tcPr>
            <w:tcW w:type="dxa" w:w="1701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1984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작성/개정자</w:t>
            </w:r>
          </w:p>
        </w:tc>
        <w:tc>
          <w:tcPr>
            <w:tcW w:type="dxa" w:w="4252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주요 변경 내용</w:t>
            </w:r>
          </w:p>
        </w:tc>
      </w:tr>
      <w:tr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v1.0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2026-07-11</w:t>
            </w:r>
          </w:p>
        </w:tc>
        <w:tc>
          <w:tcPr>
            <w:tcW w:type="dxa" w:w="1984"/>
          </w:tcPr>
          <w:p>
            <w:pPr>
              <w:spacing w:after="20"/>
            </w:pPr>
            <w:r/>
            <w:r>
              <w:rPr>
                <w:sz w:val="19"/>
              </w:rPr>
              <w:t>사업 PMO</w:t>
            </w:r>
          </w:p>
        </w:tc>
        <w:tc>
          <w:tcPr>
            <w:tcW w:type="dxa" w:w="4252"/>
          </w:tcPr>
          <w:p>
            <w:pPr>
              <w:spacing w:after="20"/>
            </w:pPr>
            <w:r/>
            <w:r>
              <w:rPr>
                <w:sz w:val="19"/>
              </w:rPr>
              <w:t>사업수행계획서 최초 작성(표준 목차 14장 체계)</w:t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b w:val="0"/>
          <w:i/>
          <w:color w:val="555F6B"/>
          <w:sz w:val="18"/>
        </w:rPr>
        <w:t>※ 본 계획서는 사업 진척에 따라 형상관리 절차(14장)에 의거 개정하며, 모든 변경은 개정 이력에 기록한다.</w:t>
      </w:r>
    </w:p>
    <w:p>
      <w:pPr>
        <w:pStyle w:val="Heading2"/>
      </w:pPr>
      <w:r>
        <w:rPr>
          <w:color w:val="116DC3"/>
        </w:rPr>
        <w:t>목차</w:t>
      </w:r>
    </w:p>
    <w:p>
      <w:pPr>
        <w:spacing w:after="40"/>
      </w:pPr>
      <w:r>
        <w:rPr>
          <w:sz w:val="21"/>
        </w:rPr>
        <w:t>1. 사업 개요</w:t>
      </w:r>
    </w:p>
    <w:p>
      <w:pPr>
        <w:spacing w:after="40"/>
      </w:pPr>
      <w:r>
        <w:rPr>
          <w:sz w:val="21"/>
        </w:rPr>
        <w:t>2. 사업 범위</w:t>
      </w:r>
    </w:p>
    <w:p>
      <w:pPr>
        <w:spacing w:after="40"/>
      </w:pPr>
      <w:r>
        <w:rPr>
          <w:sz w:val="21"/>
        </w:rPr>
        <w:t>3. 추진 전략 및 개발 방법론</w:t>
      </w:r>
    </w:p>
    <w:p>
      <w:pPr>
        <w:spacing w:after="40"/>
      </w:pPr>
      <w:r>
        <w:rPr>
          <w:sz w:val="21"/>
        </w:rPr>
        <w:t>4. 추진 체계·조직 및 역할(R&amp;R)</w:t>
      </w:r>
    </w:p>
    <w:p>
      <w:pPr>
        <w:spacing w:after="40"/>
      </w:pPr>
      <w:r>
        <w:rPr>
          <w:sz w:val="21"/>
        </w:rPr>
        <w:t>5. WBS 및 마스터 일정</w:t>
      </w:r>
    </w:p>
    <w:p>
      <w:pPr>
        <w:spacing w:after="40"/>
      </w:pPr>
      <w:r>
        <w:rPr>
          <w:sz w:val="21"/>
        </w:rPr>
        <w:t>6. 투입 인력 및 투입 계획(M/M)</w:t>
      </w:r>
    </w:p>
    <w:p>
      <w:pPr>
        <w:spacing w:after="40"/>
      </w:pPr>
      <w:r>
        <w:rPr>
          <w:sz w:val="21"/>
        </w:rPr>
        <w:t>7. 품질보증 계획</w:t>
      </w:r>
    </w:p>
    <w:p>
      <w:pPr>
        <w:spacing w:after="40"/>
      </w:pPr>
      <w:r>
        <w:rPr>
          <w:sz w:val="21"/>
        </w:rPr>
        <w:t>8. 보안 및 개인정보보호 계획</w:t>
      </w:r>
    </w:p>
    <w:p>
      <w:pPr>
        <w:spacing w:after="40"/>
      </w:pPr>
      <w:r>
        <w:rPr>
          <w:sz w:val="21"/>
        </w:rPr>
        <w:t>9. 시험(테스트) 계획 개요</w:t>
      </w:r>
    </w:p>
    <w:p>
      <w:pPr>
        <w:spacing w:after="40"/>
      </w:pPr>
      <w:r>
        <w:rPr>
          <w:sz w:val="21"/>
        </w:rPr>
        <w:t>10. 이관·교육·유지보수 계획</w:t>
      </w:r>
    </w:p>
    <w:p>
      <w:pPr>
        <w:spacing w:after="40"/>
      </w:pPr>
      <w:r>
        <w:rPr>
          <w:sz w:val="21"/>
        </w:rPr>
        <w:t>11. 위험(리스크) 관리</w:t>
      </w:r>
    </w:p>
    <w:p>
      <w:pPr>
        <w:spacing w:after="40"/>
      </w:pPr>
      <w:r>
        <w:rPr>
          <w:sz w:val="21"/>
        </w:rPr>
        <w:t>12. 의사소통·보고 체계</w:t>
      </w:r>
    </w:p>
    <w:p>
      <w:pPr>
        <w:spacing w:after="40"/>
      </w:pPr>
      <w:r>
        <w:rPr>
          <w:sz w:val="21"/>
        </w:rPr>
        <w:t>13. 산출물 목록</w:t>
      </w:r>
    </w:p>
    <w:p>
      <w:pPr>
        <w:spacing w:after="40"/>
      </w:pPr>
      <w:r>
        <w:rPr>
          <w:sz w:val="21"/>
        </w:rPr>
        <w:t>14. 형상관리</w:t>
      </w:r>
    </w:p>
    <w:p>
      <w:r>
        <w:br w:type="page"/>
      </w:r>
    </w:p>
    <w:p>
      <w:pPr>
        <w:pStyle w:val="Heading1"/>
      </w:pPr>
      <w:r>
        <w:rPr>
          <w:color w:val="1F293A"/>
        </w:rPr>
        <w:t>1. 사업 개요</w:t>
      </w:r>
    </w:p>
    <w:p>
      <w:pPr>
        <w:pStyle w:val="Heading2"/>
      </w:pPr>
      <w:r>
        <w:rPr>
          <w:color w:val="116DC3"/>
        </w:rPr>
        <w:t>1.1 추진 배경</w:t>
      </w:r>
    </w:p>
    <w:p>
      <w:pPr>
        <w:spacing w:after="120"/>
      </w:pPr>
      <w:r>
        <w:rPr>
          <w:b w:val="0"/>
          <w:i w:val="0"/>
          <w:sz w:val="21"/>
        </w:rPr>
        <w:t>킨텍스는 총 전시면적 108,011㎡(국내 최대, 제3전시장 완공 시 약 178,000㎡)를 운영하지만, 전시 준비 실무는 여전히 표준 서식 다운로드 후 이메일·방문 제출, CAD 수작업 배치도의 육안 검수, 수기 위치표시도 기반 유틸리티 신청에 머물러 있다. 참가업체 유틸리티 신청은 킨텍스 공통 플랫폼 없이 전시회별 주최자 사무국 시스템으로 파편화되어 있다.</w:t>
      </w:r>
    </w:p>
    <w:p>
      <w:pPr>
        <w:spacing w:after="120"/>
      </w:pPr>
      <w:r>
        <w:rPr>
          <w:b w:val="0"/>
          <w:i w:val="0"/>
          <w:sz w:val="21"/>
        </w:rPr>
        <w:t>공간 데이터(배치도·도면·위치표시도)가 전부 이미지·수기로 오가며 구조화되지 않아 자동 검증·시각화·정산의 원천 데이터가 부재하고, D-150/D-30/D-25/D-7 마일스톤이 시스템화되어 있지 않으며, 시공 결과를 사전에 확인할 수단이 없다는 구조적 공백이 확인되었다.</w:t>
      </w:r>
    </w:p>
    <w:p>
      <w:pPr>
        <w:pStyle w:val="Heading2"/>
      </w:pPr>
      <w:r>
        <w:rPr>
          <w:color w:val="116DC3"/>
        </w:rPr>
        <w:t>1.2 사업 목적</w:t>
      </w:r>
    </w:p>
    <w:p>
      <w:pPr>
        <w:pStyle w:val="ListBullet"/>
        <w:spacing w:after="40"/>
      </w:pPr>
      <w:r>
        <w:t>전시장 운영 전 과정(홀 배정→부스 배치→장치공사 설계→전기/조명→네트워크/유틸리티 배선→반입/반출)을 AI로 자동 설계·검증한다.</w:t>
      </w:r>
    </w:p>
    <w:p>
      <w:pPr>
        <w:pStyle w:val="ListBullet"/>
        <w:spacing w:after="40"/>
      </w:pPr>
      <w:r>
        <w:t>AI 설계 결과를 나노바나나(이미지 생성)로 '시공 후 결과 사진'처럼 시공 전에 미리 생성하여 사진 수준 시각화를 제공한다.</w:t>
      </w:r>
    </w:p>
    <w:p>
      <w:pPr>
        <w:pStyle w:val="ListBullet"/>
        <w:spacing w:after="40"/>
      </w:pPr>
      <w:r>
        <w:t>기획·판매·시공·운영·관람객·사후분석 전 주기를 하나의 공간 데이터·계정 체계로 통합한 베뉴 운영 플랫폼을 구축한다.</w:t>
      </w:r>
    </w:p>
    <w:p>
      <w:pPr>
        <w:pStyle w:val="ListBullet"/>
        <w:spacing w:after="40"/>
      </w:pPr>
      <w:r>
        <w:t>AI 설계·시각화 산출물을 공사/장치 옥션(역경매)의 응찰 근거로 소비하여 설계→시각화→발주→시공 폐루프를 완성한다.</w:t>
      </w:r>
    </w:p>
    <w:p>
      <w:pPr>
        <w:pStyle w:val="Heading2"/>
      </w:pPr>
      <w:r>
        <w:rPr>
          <w:color w:val="116DC3"/>
        </w:rPr>
        <w:t>1.3 비전 및 정체성</w:t>
      </w:r>
    </w:p>
    <w:p>
      <w:pPr>
        <w:spacing w:after="120"/>
      </w:pPr>
      <w:r>
        <w:rPr>
          <w:b/>
          <w:i w:val="0"/>
          <w:color w:val="116DC3"/>
          <w:sz w:val="21"/>
        </w:rPr>
        <w:t>비전 슬로건: "신청서를 내는 순간, 시공 후 사진을 먼저 본다."</w:t>
      </w:r>
    </w:p>
    <w:p>
      <w:pPr>
        <w:spacing w:after="120"/>
      </w:pPr>
      <w:r>
        <w:rPr>
          <w:b w:val="0"/>
          <w:i w:val="0"/>
          <w:sz w:val="21"/>
        </w:rPr>
        <w:t>본 시스템은 킨텍스를 기준 테넌트(#1)로 하되 코엑스 등 여타 전시관을 온보딩하는 다중 전시관 멀티테넌트 SaaS로 확장 가능한 구조로 설계한다. 기능(모듈)은 전부 보존하고 그 위에 전시관 단위 데이터·권한·컨텍스트 격리 레이어를 얹는다.</w:t>
      </w:r>
    </w:p>
    <w:p>
      <w:pPr>
        <w:pStyle w:val="Heading2"/>
      </w:pPr>
      <w:r>
        <w:rPr>
          <w:color w:val="116DC3"/>
        </w:rPr>
        <w:t>1.4 정량 목표(As-Is → To-Be)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1"/>
        <w:gridCol w:w="3211"/>
        <w:gridCol w:w="3211"/>
      </w:tblGrid>
      <w:tr>
        <w:tc>
          <w:tcPr>
            <w:tcW w:type="dxa" w:w="2551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목표 지표</w:t>
            </w:r>
          </w:p>
        </w:tc>
        <w:tc>
          <w:tcPr>
            <w:tcW w:type="dxa" w:w="3118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현재(As-Is)</w:t>
            </w:r>
          </w:p>
        </w:tc>
        <w:tc>
          <w:tcPr>
            <w:tcW w:type="dxa" w:w="3402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목표(To-Be)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sz w:val="19"/>
              </w:rPr>
              <w:t>홀 배정 견적 회신</w:t>
            </w:r>
          </w:p>
        </w:tc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문의→협의→견적 수일</w:t>
            </w:r>
          </w:p>
        </w:tc>
        <w:tc>
          <w:tcPr>
            <w:tcW w:type="dxa" w:w="3402"/>
          </w:tcPr>
          <w:p>
            <w:pPr>
              <w:spacing w:after="20"/>
            </w:pPr>
            <w:r/>
            <w:r>
              <w:rPr>
                <w:sz w:val="19"/>
              </w:rPr>
              <w:t>조건 입력 후 즉시 자동 가견적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sz w:val="19"/>
              </w:rPr>
              <w:t>부스 배치도 초안</w:t>
            </w:r>
          </w:p>
        </w:tc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CAD 수작업 수일~수주</w:t>
            </w:r>
          </w:p>
        </w:tc>
        <w:tc>
          <w:tcPr>
            <w:tcW w:type="dxa" w:w="3402"/>
          </w:tcPr>
          <w:p>
            <w:pPr>
              <w:spacing w:after="20"/>
            </w:pPr>
            <w:r/>
            <w:r>
              <w:rPr>
                <w:sz w:val="19"/>
              </w:rPr>
              <w:t>조건 입력 후 수 분 내 복수 안 생성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sz w:val="19"/>
              </w:rPr>
              <w:t>도면 규정 검수</w:t>
            </w:r>
          </w:p>
        </w:tc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홀매니저 육안 검토</w:t>
            </w:r>
          </w:p>
        </w:tc>
        <w:tc>
          <w:tcPr>
            <w:tcW w:type="dxa" w:w="3402"/>
          </w:tcPr>
          <w:p>
            <w:pPr>
              <w:spacing w:after="20"/>
            </w:pPr>
            <w:r/>
            <w:r>
              <w:rPr>
                <w:sz w:val="19"/>
              </w:rPr>
              <w:t>규정 위반 자동 플래깅 후 사람 확정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sz w:val="19"/>
              </w:rPr>
              <w:t>유틸리티 위치표시도</w:t>
            </w:r>
          </w:p>
        </w:tc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참가업체 수기 작도</w:t>
            </w:r>
          </w:p>
        </w:tc>
        <w:tc>
          <w:tcPr>
            <w:tcW w:type="dxa" w:w="3402"/>
          </w:tcPr>
          <w:p>
            <w:pPr>
              <w:spacing w:after="20"/>
            </w:pPr>
            <w:r/>
            <w:r>
              <w:rPr>
                <w:sz w:val="19"/>
              </w:rPr>
              <w:t>부스 좌표 클릭 → 자동 배선안·자동 견적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sz w:val="19"/>
              </w:rPr>
              <w:t>시공 결과 예측</w:t>
            </w:r>
          </w:p>
        </w:tc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불가(외주 조감도)</w:t>
            </w:r>
          </w:p>
        </w:tc>
        <w:tc>
          <w:tcPr>
            <w:tcW w:type="dxa" w:w="3402"/>
          </w:tcPr>
          <w:p>
            <w:pPr>
              <w:spacing w:after="20"/>
            </w:pPr>
            <w:r/>
            <w:r>
              <w:rPr>
                <w:sz w:val="19"/>
              </w:rPr>
              <w:t>표준 샷 세트 자동 생성(정면/야간/통로)</w:t>
            </w:r>
          </w:p>
        </w:tc>
      </w:tr>
    </w:tbl>
    <w:p>
      <w:pPr>
        <w:spacing w:after="80"/>
      </w:pPr>
    </w:p>
    <w:p>
      <w:pPr>
        <w:pStyle w:val="Heading2"/>
      </w:pPr>
      <w:r>
        <w:rPr>
          <w:color w:val="116DC3"/>
        </w:rPr>
        <w:t>1.5 기대 효과</w:t>
      </w:r>
    </w:p>
    <w:p>
      <w:pPr>
        <w:pStyle w:val="ListBullet"/>
        <w:spacing w:after="40"/>
      </w:pPr>
      <w:r>
        <w:t>참가업체·주최자의 의사결정 가속 및 참가업체 유치 영업 자료 확보(시공 예상 이미지 기반).</w:t>
      </w:r>
    </w:p>
    <w:p>
      <w:pPr>
        <w:pStyle w:val="ListBullet"/>
        <w:spacing w:after="40"/>
      </w:pPr>
      <w:r>
        <w:t>규정 위반 사전 검출로 도면 반려 재작업 감소 및 홀매니저 검수 시간 단축.</w:t>
      </w:r>
    </w:p>
    <w:p>
      <w:pPr>
        <w:pStyle w:val="ListBullet"/>
        <w:spacing w:after="40"/>
      </w:pPr>
      <w:r>
        <w:t>'현장 추가신청 불가' 유틸리티의 신청 누락 방지 — 참가업체 최대 리스크 제거.</w:t>
      </w:r>
    </w:p>
    <w:p>
      <w:pPr>
        <w:pStyle w:val="ListBullet"/>
        <w:spacing w:after="40"/>
      </w:pPr>
      <w:r>
        <w:t>역경매 옥션을 통한 시공 발주 가격 최적화·투명화(동일 사양 위 공정 비교).</w:t>
      </w:r>
    </w:p>
    <w:p>
      <w:pPr>
        <w:pStyle w:val="ListBullet"/>
        <w:spacing w:after="40"/>
      </w:pPr>
      <w:r>
        <w:t>공간 데이터 표준화로 자동 검증·시각화·정산·wayfinding·경영분석의 단일 원천 확보.</w:t>
      </w:r>
    </w:p>
    <w:p>
      <w:pPr>
        <w:pStyle w:val="Heading1"/>
      </w:pPr>
      <w:r>
        <w:rPr>
          <w:color w:val="1F293A"/>
        </w:rPr>
        <w:t>2. 사업 범위</w:t>
      </w:r>
    </w:p>
    <w:p>
      <w:pPr>
        <w:pStyle w:val="Heading2"/>
      </w:pPr>
      <w:r>
        <w:rPr>
          <w:color w:val="116DC3"/>
        </w:rPr>
        <w:t>2.1 대상 시스템 및 모듈</w:t>
      </w:r>
    </w:p>
    <w:p>
      <w:pPr>
        <w:spacing w:after="120"/>
      </w:pPr>
      <w:r>
        <w:rPr>
          <w:b w:val="0"/>
          <w:i w:val="0"/>
          <w:sz w:val="21"/>
        </w:rPr>
        <w:t>본 사업은 설계·시각화 코어(P0), 판매·발주·정산, 관람·참가·마케팅, 경영·콘텐츠·관리 계열의 총 18개 모듈과 공통·시스템관리 레이어(UIWS/WISE 이식)로 구성된다. (모듈 목록은 PLANNING 총괄표에서 자동 추출)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1"/>
        <w:gridCol w:w="3211"/>
        <w:gridCol w:w="3211"/>
      </w:tblGrid>
      <w:tr>
        <w:tc>
          <w:tcPr>
            <w:tcW w:type="dxa" w:w="1247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모듈</w:t>
            </w:r>
          </w:p>
        </w:tc>
        <w:tc>
          <w:tcPr>
            <w:tcW w:type="dxa" w:w="6406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명칭</w:t>
            </w:r>
          </w:p>
        </w:tc>
        <w:tc>
          <w:tcPr>
            <w:tcW w:type="dxa" w:w="1417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우선순위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M2</w:t>
            </w:r>
          </w:p>
        </w:tc>
        <w:tc>
          <w:tcPr>
            <w:tcW w:type="dxa" w:w="6406"/>
          </w:tcPr>
          <w:p>
            <w:pPr>
              <w:spacing w:after="20"/>
            </w:pPr>
            <w:r/>
            <w:r>
              <w:rPr>
                <w:sz w:val="19"/>
              </w:rPr>
              <w:t>부스 배치 자동 생성·규정 검증</w:t>
            </w:r>
          </w:p>
        </w:tc>
        <w:tc>
          <w:tcPr>
            <w:tcW w:type="dxa" w:w="1417"/>
          </w:tcPr>
          <w:p>
            <w:pPr>
              <w:spacing w:after="20"/>
            </w:pPr>
            <w:r/>
            <w:r>
              <w:rPr>
                <w:sz w:val="19"/>
              </w:rPr>
              <w:t>P0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M3</w:t>
            </w:r>
          </w:p>
        </w:tc>
        <w:tc>
          <w:tcPr>
            <w:tcW w:type="dxa" w:w="6406"/>
          </w:tcPr>
          <w:p>
            <w:pPr>
              <w:spacing w:after="20"/>
            </w:pPr>
            <w:r/>
            <w:r>
              <w:rPr>
                <w:sz w:val="19"/>
              </w:rPr>
              <w:t>부스 설계 초안 + 규정 사전 검증</w:t>
            </w:r>
          </w:p>
        </w:tc>
        <w:tc>
          <w:tcPr>
            <w:tcW w:type="dxa" w:w="1417"/>
          </w:tcPr>
          <w:p>
            <w:pPr>
              <w:spacing w:after="20"/>
            </w:pPr>
            <w:r/>
            <w:r>
              <w:rPr>
                <w:sz w:val="19"/>
              </w:rPr>
              <w:t>P0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M5</w:t>
            </w:r>
          </w:p>
        </w:tc>
        <w:tc>
          <w:tcPr>
            <w:tcW w:type="dxa" w:w="6406"/>
          </w:tcPr>
          <w:p>
            <w:pPr>
              <w:spacing w:after="20"/>
            </w:pPr>
            <w:r/>
            <w:r>
              <w:rPr>
                <w:sz w:val="19"/>
              </w:rPr>
              <w:t>나노바나나 시공 예상 사진</w:t>
            </w:r>
          </w:p>
        </w:tc>
        <w:tc>
          <w:tcPr>
            <w:tcW w:type="dxa" w:w="1417"/>
          </w:tcPr>
          <w:p>
            <w:pPr>
              <w:spacing w:after="20"/>
            </w:pPr>
            <w:r/>
            <w:r>
              <w:rPr>
                <w:sz w:val="19"/>
              </w:rPr>
              <w:t>P0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M1</w:t>
            </w:r>
          </w:p>
        </w:tc>
        <w:tc>
          <w:tcPr>
            <w:tcW w:type="dxa" w:w="6406"/>
          </w:tcPr>
          <w:p>
            <w:pPr>
              <w:spacing w:after="20"/>
            </w:pPr>
            <w:r/>
            <w:r>
              <w:rPr>
                <w:sz w:val="19"/>
              </w:rPr>
              <w:t>가용성 조회·자동 견적</w:t>
            </w:r>
          </w:p>
        </w:tc>
        <w:tc>
          <w:tcPr>
            <w:tcW w:type="dxa" w:w="1417"/>
          </w:tcPr>
          <w:p>
            <w:pPr>
              <w:spacing w:after="20"/>
            </w:pPr>
            <w:r/>
            <w:r>
              <w:rPr>
                <w:sz w:val="19"/>
              </w:rPr>
              <w:t>P1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M6</w:t>
            </w:r>
          </w:p>
        </w:tc>
        <w:tc>
          <w:tcPr>
            <w:tcW w:type="dxa" w:w="6406"/>
          </w:tcPr>
          <w:p>
            <w:pPr>
              <w:spacing w:after="20"/>
            </w:pPr>
            <w:r/>
            <w:r>
              <w:rPr>
                <w:sz w:val="19"/>
              </w:rPr>
              <w:t>마일스톤·서류 워크플로</w:t>
            </w:r>
          </w:p>
        </w:tc>
        <w:tc>
          <w:tcPr>
            <w:tcW w:type="dxa" w:w="1417"/>
          </w:tcPr>
          <w:p>
            <w:pPr>
              <w:spacing w:after="20"/>
            </w:pPr>
            <w:r/>
            <w:r>
              <w:rPr>
                <w:sz w:val="19"/>
              </w:rPr>
              <w:t>P1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M7</w:t>
            </w:r>
          </w:p>
        </w:tc>
        <w:tc>
          <w:tcPr>
            <w:tcW w:type="dxa" w:w="6406"/>
          </w:tcPr>
          <w:p>
            <w:pPr>
              <w:spacing w:after="20"/>
            </w:pPr>
            <w:r/>
            <w:r>
              <w:rPr>
                <w:sz w:val="19"/>
              </w:rPr>
              <w:t>등록업체 매칭</w:t>
            </w:r>
          </w:p>
        </w:tc>
        <w:tc>
          <w:tcPr>
            <w:tcW w:type="dxa" w:w="1417"/>
          </w:tcPr>
          <w:p>
            <w:pPr>
              <w:spacing w:after="20"/>
            </w:pPr>
            <w:r/>
            <w:r>
              <w:rPr>
                <w:sz w:val="19"/>
              </w:rPr>
              <w:t>P1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M9</w:t>
            </w:r>
          </w:p>
        </w:tc>
        <w:tc>
          <w:tcPr>
            <w:tcW w:type="dxa" w:w="6406"/>
          </w:tcPr>
          <w:p>
            <w:pPr>
              <w:spacing w:after="20"/>
            </w:pPr>
            <w:r/>
            <w:r>
              <w:rPr>
                <w:sz w:val="19"/>
              </w:rPr>
              <w:t>정산·결제</w:t>
            </w:r>
          </w:p>
        </w:tc>
        <w:tc>
          <w:tcPr>
            <w:tcW w:type="dxa" w:w="1417"/>
          </w:tcPr>
          <w:p>
            <w:pPr>
              <w:spacing w:after="20"/>
            </w:pPr>
            <w:r/>
            <w:r>
              <w:rPr>
                <w:sz w:val="19"/>
              </w:rPr>
              <w:t>P1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M15</w:t>
            </w:r>
          </w:p>
        </w:tc>
        <w:tc>
          <w:tcPr>
            <w:tcW w:type="dxa" w:w="6406"/>
          </w:tcPr>
          <w:p>
            <w:pPr>
              <w:spacing w:after="20"/>
            </w:pPr>
            <w:r/>
            <w:r>
              <w:rPr>
                <w:sz w:val="19"/>
              </w:rPr>
              <w:t>공사/장치 옥션(역경매·견적서 응찰·낙찰)</w:t>
            </w:r>
          </w:p>
        </w:tc>
        <w:tc>
          <w:tcPr>
            <w:tcW w:type="dxa" w:w="1417"/>
          </w:tcPr>
          <w:p>
            <w:pPr>
              <w:spacing w:after="20"/>
            </w:pPr>
            <w:r/>
            <w:r>
              <w:rPr>
                <w:sz w:val="19"/>
              </w:rPr>
              <w:t>P1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M10</w:t>
            </w:r>
          </w:p>
        </w:tc>
        <w:tc>
          <w:tcPr>
            <w:tcW w:type="dxa" w:w="6406"/>
          </w:tcPr>
          <w:p>
            <w:pPr>
              <w:spacing w:after="20"/>
            </w:pPr>
            <w:r/>
            <w:r>
              <w:rPr>
                <w:sz w:val="19"/>
              </w:rPr>
              <w:t>관람객 등록·배지·체크인·리드캡처</w:t>
            </w:r>
          </w:p>
        </w:tc>
        <w:tc>
          <w:tcPr>
            <w:tcW w:type="dxa" w:w="1417"/>
          </w:tcPr>
          <w:p>
            <w:pPr>
              <w:spacing w:after="20"/>
            </w:pPr>
            <w:r/>
            <w:r>
              <w:rPr>
                <w:sz w:val="19"/>
              </w:rPr>
              <w:t>P1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M12</w:t>
            </w:r>
          </w:p>
        </w:tc>
        <w:tc>
          <w:tcPr>
            <w:tcW w:type="dxa" w:w="6406"/>
          </w:tcPr>
          <w:p>
            <w:pPr>
              <w:spacing w:after="20"/>
            </w:pPr>
            <w:r/>
            <w:r>
              <w:rPr>
                <w:sz w:val="19"/>
              </w:rPr>
              <w:t>마케팅·EDM·공개 홍보 사이트(SEO·다국어)</w:t>
            </w:r>
          </w:p>
        </w:tc>
        <w:tc>
          <w:tcPr>
            <w:tcW w:type="dxa" w:w="1417"/>
          </w:tcPr>
          <w:p>
            <w:pPr>
              <w:spacing w:after="20"/>
            </w:pPr>
            <w:r/>
            <w:r>
              <w:rPr>
                <w:sz w:val="19"/>
              </w:rPr>
              <w:t>P1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M16</w:t>
            </w:r>
          </w:p>
        </w:tc>
        <w:tc>
          <w:tcPr>
            <w:tcW w:type="dxa" w:w="6406"/>
          </w:tcPr>
          <w:p>
            <w:pPr>
              <w:spacing w:after="20"/>
            </w:pPr>
            <w:r/>
            <w:r>
              <w:rPr>
                <w:sz w:val="19"/>
              </w:rPr>
              <w:t>경영분석 BI(운영사 관점 수익성/ROI + 참가사 ROI: 가동률·매출구성·행사별 P&amp;L·전시장 ROI·리텐션/LTV·수율/가격·경영진 KPI)</w:t>
            </w:r>
          </w:p>
        </w:tc>
        <w:tc>
          <w:tcPr>
            <w:tcW w:type="dxa" w:w="1417"/>
          </w:tcPr>
          <w:p>
            <w:pPr>
              <w:spacing w:after="20"/>
            </w:pPr>
            <w:r/>
            <w:r>
              <w:rPr>
                <w:sz w:val="19"/>
              </w:rPr>
              <w:t>P1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M17</w:t>
            </w:r>
          </w:p>
        </w:tc>
        <w:tc>
          <w:tcPr>
            <w:tcW w:type="dxa" w:w="6406"/>
          </w:tcPr>
          <w:p>
            <w:pPr>
              <w:spacing w:after="20"/>
            </w:pPr>
            <w:r/>
            <w:r>
              <w:rPr>
                <w:sz w:val="19"/>
              </w:rPr>
              <w:t>CMS(콘텐츠·마이크로사이트·다국어·사이니지)</w:t>
            </w:r>
          </w:p>
        </w:tc>
        <w:tc>
          <w:tcPr>
            <w:tcW w:type="dxa" w:w="1417"/>
          </w:tcPr>
          <w:p>
            <w:pPr>
              <w:spacing w:after="20"/>
            </w:pPr>
            <w:r/>
            <w:r>
              <w:rPr>
                <w:sz w:val="19"/>
              </w:rPr>
              <w:t>P1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M18</w:t>
            </w:r>
          </w:p>
        </w:tc>
        <w:tc>
          <w:tcPr>
            <w:tcW w:type="dxa" w:w="6406"/>
          </w:tcPr>
          <w:p>
            <w:pPr>
              <w:spacing w:after="20"/>
            </w:pPr>
            <w:r/>
            <w:r>
              <w:rPr>
                <w:sz w:val="19"/>
              </w:rPr>
              <w:t>관리자 백오피스(RBAC·감사·마스터데이터·룰셋)</w:t>
            </w:r>
          </w:p>
        </w:tc>
        <w:tc>
          <w:tcPr>
            <w:tcW w:type="dxa" w:w="1417"/>
          </w:tcPr>
          <w:p>
            <w:pPr>
              <w:spacing w:after="20"/>
            </w:pPr>
            <w:r/>
            <w:r>
              <w:rPr>
                <w:sz w:val="19"/>
              </w:rPr>
              <w:t>P1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§5B</w:t>
            </w:r>
          </w:p>
        </w:tc>
        <w:tc>
          <w:tcPr>
            <w:tcW w:type="dxa" w:w="6406"/>
          </w:tcPr>
          <w:p>
            <w:pPr>
              <w:spacing w:after="20"/>
            </w:pPr>
            <w:r/>
            <w:r>
              <w:rPr>
                <w:sz w:val="19"/>
              </w:rPr>
              <w:t>공통/시스템관리 레이어(UIWS 표준 이식) + JWT+OTP 인증</w:t>
            </w:r>
          </w:p>
        </w:tc>
        <w:tc>
          <w:tcPr>
            <w:tcW w:type="dxa" w:w="1417"/>
          </w:tcPr>
          <w:p>
            <w:pPr>
              <w:spacing w:after="20"/>
            </w:pPr>
            <w:r/>
            <w:r>
              <w:rPr>
                <w:sz w:val="19"/>
              </w:rPr>
              <w:t>P1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M8</w:t>
            </w:r>
          </w:p>
        </w:tc>
        <w:tc>
          <w:tcPr>
            <w:tcW w:type="dxa" w:w="6406"/>
          </w:tcPr>
          <w:p>
            <w:pPr>
              <w:spacing w:after="20"/>
            </w:pPr>
            <w:r/>
            <w:r>
              <w:rPr>
                <w:sz w:val="19"/>
              </w:rPr>
              <w:t>반입/반출 슬롯</w:t>
            </w:r>
          </w:p>
        </w:tc>
        <w:tc>
          <w:tcPr>
            <w:tcW w:type="dxa" w:w="1417"/>
          </w:tcPr>
          <w:p>
            <w:pPr>
              <w:spacing w:after="20"/>
            </w:pPr>
            <w:r/>
            <w:r>
              <w:rPr>
                <w:sz w:val="19"/>
              </w:rPr>
              <w:t>P2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M11</w:t>
            </w:r>
          </w:p>
        </w:tc>
        <w:tc>
          <w:tcPr>
            <w:tcW w:type="dxa" w:w="6406"/>
          </w:tcPr>
          <w:p>
            <w:pPr>
              <w:spacing w:after="20"/>
            </w:pPr>
            <w:r/>
            <w:r>
              <w:rPr>
                <w:sz w:val="19"/>
              </w:rPr>
              <w:t>비즈니스 매칭</w:t>
            </w:r>
          </w:p>
        </w:tc>
        <w:tc>
          <w:tcPr>
            <w:tcW w:type="dxa" w:w="1417"/>
          </w:tcPr>
          <w:p>
            <w:pPr>
              <w:spacing w:after="20"/>
            </w:pPr>
            <w:r/>
            <w:r>
              <w:rPr>
                <w:sz w:val="19"/>
              </w:rPr>
              <w:t>P2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M13</w:t>
            </w:r>
          </w:p>
        </w:tc>
        <w:tc>
          <w:tcPr>
            <w:tcW w:type="dxa" w:w="6406"/>
          </w:tcPr>
          <w:p>
            <w:pPr>
              <w:spacing w:after="20"/>
            </w:pPr>
            <w:r/>
            <w:r>
              <w:rPr>
                <w:sz w:val="19"/>
              </w:rPr>
              <w:t>wayfinding·실내 내비</w:t>
            </w:r>
          </w:p>
        </w:tc>
        <w:tc>
          <w:tcPr>
            <w:tcW w:type="dxa" w:w="1417"/>
          </w:tcPr>
          <w:p>
            <w:pPr>
              <w:spacing w:after="20"/>
            </w:pPr>
            <w:r/>
            <w:r>
              <w:rPr>
                <w:sz w:val="19"/>
              </w:rPr>
              <w:t>P2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M14</w:t>
            </w:r>
          </w:p>
        </w:tc>
        <w:tc>
          <w:tcPr>
            <w:tcW w:type="dxa" w:w="6406"/>
          </w:tcPr>
          <w:p>
            <w:pPr>
              <w:spacing w:after="20"/>
            </w:pPr>
            <w:r/>
            <w:r>
              <w:rPr>
                <w:sz w:val="19"/>
              </w:rPr>
              <w:t>현장운영(혼잡·안전·주차·에너지)</w:t>
            </w:r>
          </w:p>
        </w:tc>
        <w:tc>
          <w:tcPr>
            <w:tcW w:type="dxa" w:w="1417"/>
          </w:tcPr>
          <w:p>
            <w:pPr>
              <w:spacing w:after="20"/>
            </w:pPr>
            <w:r/>
            <w:r>
              <w:rPr>
                <w:sz w:val="19"/>
              </w:rPr>
              <w:t>P2</w:t>
            </w:r>
          </w:p>
        </w:tc>
      </w:tr>
    </w:tbl>
    <w:p>
      <w:pPr>
        <w:spacing w:after="80"/>
      </w:pPr>
    </w:p>
    <w:p>
      <w:pPr>
        <w:pStyle w:val="Heading2"/>
      </w:pPr>
      <w:r>
        <w:rPr>
          <w:color w:val="116DC3"/>
        </w:rPr>
        <w:t>2.2 우선순위 정의</w:t>
      </w:r>
    </w:p>
    <w:p>
      <w:pPr>
        <w:pStyle w:val="ListBullet"/>
        <w:spacing w:after="40"/>
      </w:pPr>
      <w:r>
        <w:t>P0 — 핵심 차별화 + 첫 상용 행사 적용 필수(부스 시공 코어 M2~M5).</w:t>
      </w:r>
    </w:p>
    <w:p>
      <w:pPr>
        <w:pStyle w:val="ListBullet"/>
        <w:spacing w:after="40"/>
      </w:pPr>
      <w:r>
        <w:t>P1 — 운영 효율 핵심(판매·발주·정산·관람·마케팅·경영분석·관리자·공통 레이어).</w:t>
      </w:r>
    </w:p>
    <w:p>
      <w:pPr>
        <w:pStyle w:val="ListBullet"/>
        <w:spacing w:after="40"/>
      </w:pPr>
      <w:r>
        <w:t>P2 — 확장(물류·비즈매칭·wayfinding·현장운영).</w:t>
      </w:r>
    </w:p>
    <w:p>
      <w:pPr>
        <w:pStyle w:val="Heading2"/>
      </w:pPr>
      <w:r>
        <w:rPr>
          <w:color w:val="116DC3"/>
        </w:rPr>
        <w:t>2.3 범위 제외(Non-Goals)</w:t>
      </w:r>
    </w:p>
    <w:p>
      <w:pPr>
        <w:pStyle w:val="ListBullet"/>
        <w:spacing w:after="40"/>
      </w:pPr>
      <w:r>
        <w:t>킨텍스 임대계약의 법적 전자체결은 후속 단계 검토 — 초기에는 견적·서류 준비까지.</w:t>
      </w:r>
    </w:p>
    <w:p>
      <w:pPr>
        <w:pStyle w:val="ListBullet"/>
        <w:spacing w:after="40"/>
      </w:pPr>
      <w:r>
        <w:t>구조계산서의 구조 안전성 최종 판정은 AI가 대신하지 않는다(규정 체크·누락 검출까지, 최종 판정은 구조기술사/킨텍스).</w:t>
      </w:r>
    </w:p>
    <w:p>
      <w:pPr>
        <w:pStyle w:val="ListBullet"/>
        <w:spacing w:after="40"/>
      </w:pPr>
      <w:r>
        <w:t>AI 생성 시각화는 참고용이며 계약·인허가 서류로 사용 불가(워터마크·고지 강제).</w:t>
      </w:r>
    </w:p>
    <w:p>
      <w:pPr>
        <w:pStyle w:val="ListBullet"/>
        <w:spacing w:after="40"/>
      </w:pPr>
      <w:r>
        <w:t>신규 전시관 온보딩은 마스터데이터 입력 수준까지 — 고유 규정 파서 자동 생성 제외.</w:t>
      </w:r>
    </w:p>
    <w:p>
      <w:pPr>
        <w:pStyle w:val="ListBullet"/>
        <w:spacing w:after="40"/>
      </w:pPr>
      <w:r>
        <w:t>정밀 실내 측위(UWB/BLE 비콘)는 시설 인프라 협의 전제 — 초기에는 존-레벨 폴백.</w:t>
      </w:r>
    </w:p>
    <w:p>
      <w:pPr>
        <w:pStyle w:val="Heading1"/>
      </w:pPr>
      <w:r>
        <w:rPr>
          <w:color w:val="1F293A"/>
        </w:rPr>
        <w:t>3. 추진 전략 및 개발 방법론</w:t>
      </w:r>
    </w:p>
    <w:p>
      <w:pPr>
        <w:pStyle w:val="Heading2"/>
      </w:pPr>
      <w:r>
        <w:rPr>
          <w:color w:val="116DC3"/>
        </w:rPr>
        <w:t>3.1 기본 추진 전략</w:t>
      </w:r>
    </w:p>
    <w:p>
      <w:pPr>
        <w:pStyle w:val="ListBullet"/>
        <w:spacing w:after="40"/>
      </w:pPr>
      <w:r>
        <w:t>공통 레이어 선행: 인증(JWT+2FA)·시스템관리·공통 업무기능을 전 도메인 모듈보다 선행 구축.</w:t>
      </w:r>
    </w:p>
    <w:p>
      <w:pPr>
        <w:pStyle w:val="ListBullet"/>
        <w:spacing w:after="40"/>
      </w:pPr>
      <w:r>
        <w:t>코어 우선: 핵심 차별화 P0 부스 시공 코어(M2~M5)를 우선 확보하여 첫 상용 행사에 적용.</w:t>
      </w:r>
    </w:p>
    <w:p>
      <w:pPr>
        <w:pStyle w:val="ListBullet"/>
        <w:spacing w:after="40"/>
      </w:pPr>
      <w:r>
        <w:t>단일 공간 데이터 모델: M2→M3→M4→M5가 하나의 PostGIS 지오메트리를 공유.</w:t>
      </w:r>
    </w:p>
    <w:p>
      <w:pPr>
        <w:pStyle w:val="ListBullet"/>
        <w:spacing w:after="40"/>
      </w:pPr>
      <w:r>
        <w:t>폐루프 완성: 코어 산출물을 M15 옥션 응찰 근거로 소비하여 설계→시각화→발주→시공 종결.</w:t>
      </w:r>
    </w:p>
    <w:p>
      <w:pPr>
        <w:pStyle w:val="ListBullet"/>
        <w:spacing w:after="40"/>
      </w:pPr>
      <w:r>
        <w:t>표준 프레임워크 준수: GUARDiA 표준(UIMS/WISE) 스택·인증·공통모듈·보안·배포를 상속하고 도메인만 확장.</w:t>
      </w:r>
    </w:p>
    <w:p>
      <w:pPr>
        <w:pStyle w:val="Heading2"/>
      </w:pPr>
      <w:r>
        <w:rPr>
          <w:color w:val="116DC3"/>
        </w:rPr>
        <w:t>3.2 개발 방법론</w:t>
      </w:r>
    </w:p>
    <w:p>
      <w:pPr>
        <w:spacing w:after="120"/>
      </w:pPr>
      <w:r>
        <w:rPr>
          <w:b w:val="0"/>
          <w:i w:val="0"/>
          <w:sz w:val="21"/>
        </w:rPr>
        <w:t>반복·점진(Iterative &amp; Incremental) 방식. Phase A~E 단계 위에서 각 모듈은 설계→구현→모듈 완성 직후 점진 QA→통합의 짧은 반복을 수행하며, QA가 경계면·회귀·보안 불변을 검증하고 통과할 때까지 반려한다.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1"/>
        <w:gridCol w:w="3211"/>
        <w:gridCol w:w="3211"/>
      </w:tblGrid>
      <w:tr>
        <w:tc>
          <w:tcPr>
            <w:tcW w:type="dxa" w:w="1361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단계</w:t>
            </w:r>
          </w:p>
        </w:tc>
        <w:tc>
          <w:tcPr>
            <w:tcW w:type="dxa" w:w="2608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성격</w:t>
            </w:r>
          </w:p>
        </w:tc>
        <w:tc>
          <w:tcPr>
            <w:tcW w:type="dxa" w:w="5102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핵심 활동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Phase A</w:t>
            </w:r>
          </w:p>
        </w:tc>
        <w:tc>
          <w:tcPr>
            <w:tcW w:type="dxa" w:w="2608"/>
          </w:tcPr>
          <w:p>
            <w:pPr>
              <w:spacing w:after="20"/>
            </w:pPr>
            <w:r/>
            <w:r>
              <w:rPr>
                <w:sz w:val="19"/>
              </w:rPr>
              <w:t>아키텍처·거버넌스</w:t>
            </w:r>
          </w:p>
        </w:tc>
        <w:tc>
          <w:tcPr>
            <w:tcW w:type="dxa" w:w="5102"/>
          </w:tcPr>
          <w:p>
            <w:pPr>
              <w:spacing w:after="20"/>
            </w:pPr>
            <w:r/>
            <w:r>
              <w:rPr>
                <w:sz w:val="19"/>
              </w:rPr>
              <w:t>애플리케이션 아키텍처(모듈 경계·레이어·API 표준·패키지) · 시스템 아키텍처·NFR(확장성·HA·성능·보안영역·배포 토폴로지) · 기술 표준(스택·빌드/배포·개발표준·관측성·AiTextRouter) 등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Phase B</w:t>
            </w:r>
          </w:p>
        </w:tc>
        <w:tc>
          <w:tcPr>
            <w:tcW w:type="dxa" w:w="2608"/>
          </w:tcPr>
          <w:p>
            <w:pPr>
              <w:spacing w:after="20"/>
            </w:pPr>
            <w:r/>
            <w:r>
              <w:rPr>
                <w:sz w:val="19"/>
              </w:rPr>
              <w:t>공통/시스템관리 레이어</w:t>
            </w:r>
          </w:p>
        </w:tc>
        <w:tc>
          <w:tcPr>
            <w:tcW w:type="dxa" w:w="5102"/>
          </w:tcPr>
          <w:p>
            <w:pPr>
              <w:spacing w:after="20"/>
            </w:pPr>
            <w:r/>
            <w:r>
              <w:rPr>
                <w:sz w:val="19"/>
              </w:rPr>
              <w:t>스캐폴드: src/backend(Spring Boot 3.x·com.zioinfo.kintex)·src/frontend(Vite·TS)·kintex_db(PostGIS·Flyway) · 인증: JWT+RBAC(6역할) + 2차 인증 OTP(TOTP RFC6238) + 로그인 실패 잠금 + admin 비번 env(AES-256-GCM, admin123 금지) · 시스템관리: 사용자·역할/권한·공통코드·메뉴·감사로그·시스템설정(→ M18 통합) 등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Phase C</w:t>
            </w:r>
          </w:p>
        </w:tc>
        <w:tc>
          <w:tcPr>
            <w:tcW w:type="dxa" w:w="2608"/>
          </w:tcPr>
          <w:p>
            <w:pPr>
              <w:spacing w:after="20"/>
            </w:pPr>
            <w:r/>
            <w:r>
              <w:rPr>
                <w:sz w:val="19"/>
              </w:rPr>
              <w:t>P0 부스 시공 코어</w:t>
            </w:r>
          </w:p>
        </w:tc>
        <w:tc>
          <w:tcPr>
            <w:tcW w:type="dxa" w:w="5102"/>
          </w:tcPr>
          <w:p>
            <w:pPr>
              <w:spacing w:after="20"/>
            </w:pPr>
            <w:r/>
            <w:r>
              <w:rPr>
                <w:sz w:val="19"/>
              </w:rPr>
              <w:t>Booth polygon·Trench(CAD 추출) 스키마·배치 저장/규정검증(PostGIS)·AI 1·2·3안 생성→선택/병합·SCR-03/04 이식 · 조립/독립 설계·규정 사전검증(높이·리깅·방염)·3안 생성/병합·SCR-06/09 이식 · Wiring LineString·전기/네트워크/급배수 배선·자동 견적·위치표시도·SCR-07/08 이식 등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Phase D</w:t>
            </w:r>
          </w:p>
        </w:tc>
        <w:tc>
          <w:tcPr>
            <w:tcW w:type="dxa" w:w="2608"/>
          </w:tcPr>
          <w:p>
            <w:pPr>
              <w:spacing w:after="20"/>
            </w:pPr>
            <w:r/>
            <w:r>
              <w:rPr>
                <w:sz w:val="19"/>
              </w:rPr>
              <w:t>P1 도메인</w:t>
            </w:r>
          </w:p>
        </w:tc>
        <w:tc>
          <w:tcPr>
            <w:tcW w:type="dxa" w:w="5102"/>
          </w:tcPr>
          <w:p>
            <w:pPr>
              <w:spacing w:after="20"/>
            </w:pPr>
            <w:r/>
            <w:r>
              <w:rPr>
                <w:sz w:val="19"/>
              </w:rPr>
              <w:t>AI자료 패키지 열람→견적서(Quotation) 제출→역경매(라운드·순위)→전시업체 낙찰/확정→계약/발주. 등록업체만 응찰(M7 검증). Auction 1─N Quotation ─ Award·견적서 PDF/버전 · 등록·티켓(PG)·배지/QR·현장 체크인·리드캡처·관람객 웹/모바일 · 헤드리스 CMS·참가업체 마이크로사이트·일반 대중 공개 홍보 사이트(SEO·다국어)·배너/프로모션·EDM 등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Phase E</w:t>
            </w:r>
          </w:p>
        </w:tc>
        <w:tc>
          <w:tcPr>
            <w:tcW w:type="dxa" w:w="2608"/>
          </w:tcPr>
          <w:p>
            <w:pPr>
              <w:spacing w:after="20"/>
            </w:pPr>
            <w:r/>
            <w:r>
              <w:rPr>
                <w:sz w:val="19"/>
              </w:rPr>
              <w:t>P2 + 빌드·배포</w:t>
            </w:r>
          </w:p>
        </w:tc>
        <w:tc>
          <w:tcPr>
            <w:tcW w:type="dxa" w:w="5102"/>
          </w:tcPr>
          <w:p>
            <w:pPr>
              <w:spacing w:after="20"/>
            </w:pPr>
            <w:r/>
            <w:r>
              <w:rPr>
                <w:sz w:val="19"/>
              </w:rPr>
              <w:t>비즈니스 매칭(관람객↔참가업체/바이어) · wayfinding/실내 내비(M2 배치 재사용) · 현장운영(혼잡·안전·주차·에너지) 등</w:t>
            </w:r>
          </w:p>
        </w:tc>
      </w:tr>
    </w:tbl>
    <w:p>
      <w:pPr>
        <w:spacing w:after="80"/>
      </w:pPr>
    </w:p>
    <w:p>
      <w:pPr>
        <w:pStyle w:val="Heading2"/>
      </w:pPr>
      <w:r>
        <w:rPr>
          <w:color w:val="116DC3"/>
        </w:rPr>
        <w:t>3.3 기술 아키텍처(확정 스택)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1"/>
        <w:gridCol w:w="3211"/>
        <w:gridCol w:w="3211"/>
      </w:tblGrid>
      <w:tr>
        <w:tc>
          <w:tcPr>
            <w:tcW w:type="dxa" w:w="1587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레이어</w:t>
            </w:r>
          </w:p>
        </w:tc>
        <w:tc>
          <w:tcPr>
            <w:tcW w:type="dxa" w:w="3515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기술</w:t>
            </w:r>
          </w:p>
        </w:tc>
        <w:tc>
          <w:tcPr>
            <w:tcW w:type="dxa" w:w="3969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비고</w:t>
            </w:r>
          </w:p>
        </w:tc>
      </w:tr>
      <w:tr>
        <w:tc>
          <w:tcPr>
            <w:tcW w:type="dxa" w:w="1587"/>
          </w:tcPr>
          <w:p>
            <w:pPr>
              <w:spacing w:after="20"/>
            </w:pPr>
            <w:r/>
            <w:r>
              <w:rPr>
                <w:sz w:val="19"/>
              </w:rPr>
              <w:t>프론트엔드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React 18/19 + Vite + TypeScript</w:t>
            </w:r>
          </w:p>
        </w:tc>
        <w:tc>
          <w:tcPr>
            <w:tcW w:type="dxa" w:w="3969"/>
          </w:tcPr>
          <w:p>
            <w:pPr>
              <w:spacing w:after="20"/>
            </w:pPr>
            <w:r/>
            <w:r>
              <w:rPr>
                <w:sz w:val="19"/>
              </w:rPr>
              <w:t>역할별 포털 번들 분리(데스크톱=설계, 모바일=현장·조회)</w:t>
            </w:r>
          </w:p>
        </w:tc>
      </w:tr>
      <w:tr>
        <w:tc>
          <w:tcPr>
            <w:tcW w:type="dxa" w:w="1587"/>
          </w:tcPr>
          <w:p>
            <w:pPr>
              <w:spacing w:after="20"/>
            </w:pPr>
            <w:r/>
            <w:r>
              <w:rPr>
                <w:sz w:val="19"/>
              </w:rPr>
              <w:t>백엔드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Spring Boot 3.x(Java 17) + MyBatis</w:t>
            </w:r>
          </w:p>
        </w:tc>
        <w:tc>
          <w:tcPr>
            <w:tcW w:type="dxa" w:w="3969"/>
          </w:tcPr>
          <w:p>
            <w:pPr>
              <w:spacing w:after="20"/>
            </w:pPr>
            <w:r/>
            <w:r>
              <w:rPr>
                <w:sz w:val="19"/>
              </w:rPr>
              <w:t>REST + WebSocket(STOMP), 룰·배치/배선 엔진</w:t>
            </w:r>
          </w:p>
        </w:tc>
      </w:tr>
      <w:tr>
        <w:tc>
          <w:tcPr>
            <w:tcW w:type="dxa" w:w="1587"/>
          </w:tcPr>
          <w:p>
            <w:pPr>
              <w:spacing w:after="20"/>
            </w:pPr>
            <w:r/>
            <w:r>
              <w:rPr>
                <w:sz w:val="19"/>
              </w:rPr>
              <w:t>데이터베이스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PostgreSQL + PostGIS</w:t>
            </w:r>
          </w:p>
        </w:tc>
        <w:tc>
          <w:tcPr>
            <w:tcW w:type="dxa" w:w="3969"/>
          </w:tcPr>
          <w:p>
            <w:pPr>
              <w:spacing w:after="20"/>
            </w:pPr>
            <w:r/>
            <w:r>
              <w:rPr>
                <w:sz w:val="19"/>
              </w:rPr>
              <w:t>부스 폴리곤·트렌치 포인트·배선 LineString 공간 데이터</w:t>
            </w:r>
          </w:p>
        </w:tc>
      </w:tr>
      <w:tr>
        <w:tc>
          <w:tcPr>
            <w:tcW w:type="dxa" w:w="1587"/>
          </w:tcPr>
          <w:p>
            <w:pPr>
              <w:spacing w:after="20"/>
            </w:pPr>
            <w:r/>
            <w:r>
              <w:rPr>
                <w:sz w:val="19"/>
              </w:rPr>
              <w:t>비동기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Redis 작업 큐</w:t>
            </w:r>
          </w:p>
        </w:tc>
        <w:tc>
          <w:tcPr>
            <w:tcW w:type="dxa" w:w="3969"/>
          </w:tcPr>
          <w:p>
            <w:pPr>
              <w:spacing w:after="20"/>
            </w:pPr>
            <w:r/>
            <w:r>
              <w:rPr>
                <w:sz w:val="19"/>
              </w:rPr>
              <w:t>RenderJob·서류·알림 비동기 처리</w:t>
            </w:r>
          </w:p>
        </w:tc>
      </w:tr>
      <w:tr>
        <w:tc>
          <w:tcPr>
            <w:tcW w:type="dxa" w:w="1587"/>
          </w:tcPr>
          <w:p>
            <w:pPr>
              <w:spacing w:after="20"/>
            </w:pPr>
            <w:r/>
            <w:r>
              <w:rPr>
                <w:sz w:val="19"/>
              </w:rPr>
              <w:t>이미지 생성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나노바나나 Python 워커(사이드카)</w:t>
            </w:r>
          </w:p>
        </w:tc>
        <w:tc>
          <w:tcPr>
            <w:tcW w:type="dxa" w:w="3969"/>
          </w:tcPr>
          <w:p>
            <w:pPr>
              <w:spacing w:after="20"/>
            </w:pPr>
            <w:r/>
            <w:r>
              <w:rPr>
                <w:sz w:val="19"/>
              </w:rPr>
              <w:t>백엔드는 큐 발행만, 생성 키는 워커 env 전용</w:t>
            </w:r>
          </w:p>
        </w:tc>
      </w:tr>
      <w:tr>
        <w:tc>
          <w:tcPr>
            <w:tcW w:type="dxa" w:w="1587"/>
          </w:tcPr>
          <w:p>
            <w:pPr>
              <w:spacing w:after="20"/>
            </w:pPr>
            <w:r/>
            <w:r>
              <w:rPr>
                <w:sz w:val="19"/>
              </w:rPr>
              <w:t>AI(텍스트)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Claude 기본 + 설정형 전환(AiTextRouter)</w:t>
            </w:r>
          </w:p>
        </w:tc>
        <w:tc>
          <w:tcPr>
            <w:tcW w:type="dxa" w:w="3969"/>
          </w:tcPr>
          <w:p>
            <w:pPr>
              <w:spacing w:after="20"/>
            </w:pPr>
            <w:r/>
            <w:r>
              <w:rPr>
                <w:sz w:val="19"/>
              </w:rPr>
              <w:t>실패 시 온프레미스 모델 자동 폴백</w:t>
            </w:r>
          </w:p>
        </w:tc>
      </w:tr>
      <w:tr>
        <w:tc>
          <w:tcPr>
            <w:tcW w:type="dxa" w:w="1587"/>
          </w:tcPr>
          <w:p>
            <w:pPr>
              <w:spacing w:after="20"/>
            </w:pPr>
            <w:r/>
            <w:r>
              <w:rPr>
                <w:sz w:val="19"/>
              </w:rPr>
              <w:t>형상/배포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Git(Gitea)+CI/CD Webhook+systemd/nginx</w:t>
            </w:r>
          </w:p>
        </w:tc>
        <w:tc>
          <w:tcPr>
            <w:tcW w:type="dxa" w:w="3969"/>
          </w:tcPr>
          <w:p>
            <w:pPr>
              <w:spacing w:after="20"/>
            </w:pPr>
            <w:r/>
            <w:r>
              <w:rPr>
                <w:sz w:val="19"/>
              </w:rPr>
              <w:t>무중단·헬스게이트·롤백(Fail-Safe)</w:t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b w:val="0"/>
          <w:i/>
          <w:color w:val="555F6B"/>
          <w:sz w:val="18"/>
        </w:rPr>
        <w:t>개발 도메인은 서비스명 수준으로 kintex.zioinfo.co.kr(개발)을 사용하며, 운영 도메인은 후속 확정한다.</w:t>
      </w:r>
    </w:p>
    <w:p>
      <w:pPr>
        <w:pStyle w:val="Heading1"/>
      </w:pPr>
      <w:r>
        <w:rPr>
          <w:color w:val="1F293A"/>
        </w:rPr>
        <w:t>4. 추진 체계·조직 및 역할(R&amp;R)</w:t>
      </w:r>
    </w:p>
    <w:p>
      <w:pPr>
        <w:pStyle w:val="Heading2"/>
      </w:pPr>
      <w:r>
        <w:rPr>
          <w:color w:val="116DC3"/>
        </w:rPr>
        <w:t>4.1 추진 체계</w:t>
      </w:r>
    </w:p>
    <w:p>
      <w:pPr>
        <w:spacing w:after="120"/>
      </w:pPr>
      <w:r>
        <w:rPr>
          <w:b w:val="0"/>
          <w:i w:val="0"/>
          <w:sz w:val="21"/>
        </w:rPr>
        <w:t>발주처(킨텍스)—사업 총괄(PMO)—아키텍트 그룹—개발 그룹(공통·코어·도메인)—품질(QA)·배포(DevOps)의 계층으로 구성한다. AI 에이전트 팀(kintex-impl-orchestrator)이 각 트랙 구현을 조율하며, 기획(planner)·디자인(designer)·검증(reviewer)을 경유한다.</w:t>
      </w:r>
    </w:p>
    <w:p>
      <w:pPr>
        <w:pStyle w:val="Heading2"/>
      </w:pPr>
      <w:r>
        <w:rPr>
          <w:color w:val="116DC3"/>
        </w:rPr>
        <w:t>4.2 조직 및 역할(R&amp;R)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1"/>
        <w:gridCol w:w="3211"/>
        <w:gridCol w:w="3211"/>
      </w:tblGrid>
      <w:tr>
        <w:tc>
          <w:tcPr>
            <w:tcW w:type="dxa" w:w="1247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그룹</w:t>
            </w:r>
          </w:p>
        </w:tc>
        <w:tc>
          <w:tcPr>
            <w:tcW w:type="dxa" w:w="2268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역할</w:t>
            </w:r>
          </w:p>
        </w:tc>
        <w:tc>
          <w:tcPr>
            <w:tcW w:type="dxa" w:w="5556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주요 책임(R&amp;R)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거버넌스</w:t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sz w:val="19"/>
              </w:rPr>
              <w:t>PMO / 사업 PM</w:t>
            </w:r>
          </w:p>
        </w:tc>
        <w:tc>
          <w:tcPr>
            <w:tcW w:type="dxa" w:w="5556"/>
          </w:tcPr>
          <w:p>
            <w:pPr>
              <w:spacing w:after="20"/>
            </w:pPr>
            <w:r/>
            <w:r>
              <w:rPr>
                <w:sz w:val="19"/>
              </w:rPr>
              <w:t>일정·범위·리스크·이해관계자 관리, 발주처 보고, 형상·품질 총괄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아키텍트</w:t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sz w:val="19"/>
              </w:rPr>
              <w:t>AA(애플리케이션)</w:t>
            </w:r>
          </w:p>
        </w:tc>
        <w:tc>
          <w:tcPr>
            <w:tcW w:type="dxa" w:w="5556"/>
          </w:tcPr>
          <w:p>
            <w:pPr>
              <w:spacing w:after="20"/>
            </w:pPr>
            <w:r/>
            <w:r>
              <w:rPr>
                <w:sz w:val="19"/>
              </w:rPr>
              <w:t>모듈 경계·레이어·API 표준·패키지·의존성 규칙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아키텍트</w:t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sz w:val="19"/>
              </w:rPr>
              <w:t>SA(시스템)</w:t>
            </w:r>
          </w:p>
        </w:tc>
        <w:tc>
          <w:tcPr>
            <w:tcW w:type="dxa" w:w="5556"/>
          </w:tcPr>
          <w:p>
            <w:pPr>
              <w:spacing w:after="20"/>
            </w:pPr>
            <w:r/>
            <w:r>
              <w:rPr>
                <w:sz w:val="19"/>
              </w:rPr>
              <w:t>확장성·HA·성능·배포 토폴로지·비기능요건(NFR)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아키텍트</w:t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sz w:val="19"/>
              </w:rPr>
              <w:t>TA(기술)</w:t>
            </w:r>
          </w:p>
        </w:tc>
        <w:tc>
          <w:tcPr>
            <w:tcW w:type="dxa" w:w="5556"/>
          </w:tcPr>
          <w:p>
            <w:pPr>
              <w:spacing w:after="20"/>
            </w:pPr>
            <w:r/>
            <w:r>
              <w:rPr>
                <w:sz w:val="19"/>
              </w:rPr>
              <w:t>기술 표준·빌드/배포·개발 표준·관측성·AiTextRouter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아키텍트</w:t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sz w:val="19"/>
              </w:rPr>
              <w:t>DA(데이터)</w:t>
            </w:r>
          </w:p>
        </w:tc>
        <w:tc>
          <w:tcPr>
            <w:tcW w:type="dxa" w:w="5556"/>
          </w:tcPr>
          <w:p>
            <w:pPr>
              <w:spacing w:after="20"/>
            </w:pPr>
            <w:r/>
            <w:r>
              <w:rPr>
                <w:sz w:val="19"/>
              </w:rPr>
              <w:t>전사 ERD·공간데이터·마스터·공통코드·BI 데이터마트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아키텍트</w:t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sz w:val="19"/>
              </w:rPr>
              <w:t>NA(네트워크)</w:t>
            </w:r>
          </w:p>
        </w:tc>
        <w:tc>
          <w:tcPr>
            <w:tcW w:type="dxa" w:w="5556"/>
          </w:tcPr>
          <w:p>
            <w:pPr>
              <w:spacing w:after="20"/>
            </w:pPr>
            <w:r/>
            <w:r>
              <w:rPr>
                <w:sz w:val="19"/>
              </w:rPr>
              <w:t>DMZ/내부망 분리·방화벽·부하분산·공개/백오피스 망 분리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공통</w:t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sz w:val="19"/>
              </w:rPr>
              <w:t>공통/시스템관리 개발</w:t>
            </w:r>
          </w:p>
        </w:tc>
        <w:tc>
          <w:tcPr>
            <w:tcW w:type="dxa" w:w="5556"/>
          </w:tcPr>
          <w:p>
            <w:pPr>
              <w:spacing w:after="20"/>
            </w:pPr>
            <w:r/>
            <w:r>
              <w:rPr>
                <w:sz w:val="19"/>
              </w:rPr>
              <w:t>인증(2FA)·시스템관리·공통 업무기능(UIWS 이식)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코어</w:t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sz w:val="19"/>
              </w:rPr>
              <w:t>백엔드 개발</w:t>
            </w:r>
          </w:p>
        </w:tc>
        <w:tc>
          <w:tcPr>
            <w:tcW w:type="dxa" w:w="5556"/>
          </w:tcPr>
          <w:p>
            <w:pPr>
              <w:spacing w:after="20"/>
            </w:pPr>
            <w:r/>
            <w:r>
              <w:rPr>
                <w:sz w:val="19"/>
              </w:rPr>
              <w:t>M1~M9 REST/WebSocket·룰 엔진·배선 엔진(PostGIS)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코어</w:t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sz w:val="19"/>
              </w:rPr>
              <w:t>프론트엔드 개발</w:t>
            </w:r>
          </w:p>
        </w:tc>
        <w:tc>
          <w:tcPr>
            <w:tcW w:type="dxa" w:w="5556"/>
          </w:tcPr>
          <w:p>
            <w:pPr>
              <w:spacing w:after="20"/>
            </w:pPr>
            <w:r/>
            <w:r>
              <w:rPr>
                <w:sz w:val="19"/>
              </w:rPr>
              <w:t>역할별 포털 화면·플로어플랜 캔버스·Before/After 뷰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코어</w:t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sz w:val="19"/>
              </w:rPr>
              <w:t>DB 엔지니어</w:t>
            </w:r>
          </w:p>
        </w:tc>
        <w:tc>
          <w:tcPr>
            <w:tcW w:type="dxa" w:w="5556"/>
          </w:tcPr>
          <w:p>
            <w:pPr>
              <w:spacing w:after="20"/>
            </w:pPr>
            <w:r/>
            <w:r>
              <w:rPr>
                <w:sz w:val="19"/>
              </w:rPr>
              <w:t>PostGIS 스키마·마이그레이션·매퍼·마스터 시드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AI·시각화</w:t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sz w:val="19"/>
              </w:rPr>
              <w:t>AI 개발</w:t>
            </w:r>
          </w:p>
        </w:tc>
        <w:tc>
          <w:tcPr>
            <w:tcW w:type="dxa" w:w="5556"/>
          </w:tcPr>
          <w:p>
            <w:pPr>
              <w:spacing w:after="20"/>
            </w:pPr>
            <w:r/>
            <w:r>
              <w:rPr>
                <w:sz w:val="19"/>
              </w:rPr>
              <w:t>배치 자동생성·규정검증 보조·매칭·서류검수·챗봇(Claude)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AI·시각화</w:t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sz w:val="19"/>
              </w:rPr>
              <w:t>시각화(visualizer)</w:t>
            </w:r>
          </w:p>
        </w:tc>
        <w:tc>
          <w:tcPr>
            <w:tcW w:type="dxa" w:w="5556"/>
          </w:tcPr>
          <w:p>
            <w:pPr>
              <w:spacing w:after="20"/>
            </w:pPr>
            <w:r/>
            <w:r>
              <w:rPr>
                <w:sz w:val="19"/>
              </w:rPr>
              <w:t>나노바나나 프롬프트·워커·워터마크 강제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도메인</w:t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sz w:val="19"/>
              </w:rPr>
              <w:t>옥션/관람객/CMS/BI/관리자 개발</w:t>
            </w:r>
          </w:p>
        </w:tc>
        <w:tc>
          <w:tcPr>
            <w:tcW w:type="dxa" w:w="5556"/>
          </w:tcPr>
          <w:p>
            <w:pPr>
              <w:spacing w:after="20"/>
            </w:pPr>
            <w:r/>
            <w:r>
              <w:rPr>
                <w:sz w:val="19"/>
              </w:rPr>
              <w:t>M15/M10/M12·M17/M16/M18 도메인 구현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품질·배포</w:t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sz w:val="19"/>
              </w:rPr>
              <w:t>QA</w:t>
            </w:r>
          </w:p>
        </w:tc>
        <w:tc>
          <w:tcPr>
            <w:tcW w:type="dxa" w:w="5556"/>
          </w:tcPr>
          <w:p>
            <w:pPr>
              <w:spacing w:after="20"/>
            </w:pPr>
            <w:r/>
            <w:r>
              <w:rPr>
                <w:sz w:val="19"/>
              </w:rPr>
              <w:t>경계면·회귀·보안 불변 점진 검증(통과까지 반려)</w:t>
            </w:r>
          </w:p>
        </w:tc>
      </w:tr>
      <w:tr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품질·배포</w:t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sz w:val="19"/>
              </w:rPr>
              <w:t>DevOps</w:t>
            </w:r>
          </w:p>
        </w:tc>
        <w:tc>
          <w:tcPr>
            <w:tcW w:type="dxa" w:w="5556"/>
          </w:tcPr>
          <w:p>
            <w:pPr>
              <w:spacing w:after="20"/>
            </w:pPr>
            <w:r/>
            <w:r>
              <w:rPr>
                <w:sz w:val="19"/>
              </w:rPr>
              <w:t>빌드·CI/CD·systemd/nginx·환경변수 배선</w:t>
            </w:r>
          </w:p>
        </w:tc>
      </w:tr>
    </w:tbl>
    <w:p>
      <w:pPr>
        <w:spacing w:after="80"/>
      </w:pPr>
    </w:p>
    <w:p>
      <w:pPr>
        <w:pStyle w:val="Heading1"/>
      </w:pPr>
      <w:r>
        <w:rPr>
          <w:color w:val="1F293A"/>
        </w:rPr>
        <w:t>5. WBS 및 마스터 일정</w:t>
      </w:r>
    </w:p>
    <w:p>
      <w:pPr>
        <w:pStyle w:val="Heading2"/>
      </w:pPr>
      <w:r>
        <w:rPr>
          <w:color w:val="116DC3"/>
        </w:rPr>
        <w:t>5.1 작업 분해 구조(WBS) 개요</w:t>
      </w:r>
    </w:p>
    <w:p>
      <w:pPr>
        <w:spacing w:after="120"/>
      </w:pPr>
      <w:r>
        <w:rPr>
          <w:b w:val="0"/>
          <w:i w:val="0"/>
          <w:sz w:val="21"/>
        </w:rPr>
        <w:t>WBS는 Phase A~E의 5개 단계와 하위 작업 패키지로 구성한다(IMPLEMENTATION_BACKLOG에서 자동 추출). 상세 작업 분해·담당·의존·기간은 별첨 [WBS_및_일정.xlsx]의 'WBS' 시트에 관리한다.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1"/>
        <w:gridCol w:w="3211"/>
        <w:gridCol w:w="3211"/>
      </w:tblGrid>
      <w:tr>
        <w:tc>
          <w:tcPr>
            <w:tcW w:type="dxa" w:w="2041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Phase</w:t>
            </w:r>
          </w:p>
        </w:tc>
        <w:tc>
          <w:tcPr>
            <w:tcW w:type="dxa" w:w="4535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작업 패키지(대표)</w:t>
            </w:r>
          </w:p>
        </w:tc>
        <w:tc>
          <w:tcPr>
            <w:tcW w:type="dxa" w:w="2494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완료 기준(대표)</w:t>
            </w:r>
          </w:p>
        </w:tc>
      </w:tr>
      <w:tr>
        <w:tc>
          <w:tcPr>
            <w:tcW w:type="dxa" w:w="2041"/>
          </w:tcPr>
          <w:p>
            <w:pPr>
              <w:spacing w:after="20"/>
            </w:pPr>
            <w:r/>
            <w:r>
              <w:rPr>
                <w:sz w:val="19"/>
              </w:rPr>
              <w:t>A. 아키텍처·거버넌스</w:t>
            </w:r>
          </w:p>
        </w:tc>
        <w:tc>
          <w:tcPr>
            <w:tcW w:type="dxa" w:w="4535"/>
          </w:tcPr>
          <w:p>
            <w:pPr>
              <w:spacing w:after="20"/>
            </w:pPr>
            <w:r/>
            <w:r>
              <w:rPr>
                <w:sz w:val="19"/>
              </w:rPr>
              <w:t>애플리케이션 아키텍처(모듈 경계·레이어·API 표준·패키지) / 시스템 아키텍처·NFR(확장성·HA·성능·보안영역·배포 토폴로지) / 기술 표준(스택·빌드/배포·개발표준·관측성·AiTextRouter)</w:t>
            </w:r>
          </w:p>
        </w:tc>
        <w:tc>
          <w:tcPr>
            <w:tcW w:type="dxa" w:w="2494"/>
          </w:tcPr>
          <w:p>
            <w:pPr>
              <w:spacing w:after="20"/>
            </w:pPr>
            <w:r/>
            <w:r>
              <w:rPr>
                <w:sz w:val="19"/>
              </w:rPr>
              <w:t>`docs/architecture/app.md`</w:t>
            </w:r>
          </w:p>
        </w:tc>
      </w:tr>
      <w:tr>
        <w:tc>
          <w:tcPr>
            <w:tcW w:type="dxa" w:w="2041"/>
          </w:tcPr>
          <w:p>
            <w:pPr>
              <w:spacing w:after="20"/>
            </w:pPr>
            <w:r/>
            <w:r>
              <w:rPr>
                <w:sz w:val="19"/>
              </w:rPr>
              <w:t>B. 공통/시스템관리 레이어</w:t>
            </w:r>
          </w:p>
        </w:tc>
        <w:tc>
          <w:tcPr>
            <w:tcW w:type="dxa" w:w="4535"/>
          </w:tcPr>
          <w:p>
            <w:pPr>
              <w:spacing w:after="20"/>
            </w:pPr>
            <w:r/>
            <w:r>
              <w:rPr>
                <w:sz w:val="19"/>
              </w:rPr>
              <w:t>스캐폴드: src/backend(Spring Boot 3.x·com.zioinfo.kintex)·src/frontend(Vite·TS)·kintex_db(PostGIS·Flyway) / 인증: JWT+RBAC(6역할) + 2차 인증 OTP(TOTP RFC6238) + 로그인 실패 잠금 + admin 비번 env(AES-256-GCM, admin123 금지) / 시스템관리: 사용자·역할/권한·공통코드·메뉴·감사로그·시스템설정(→ M18 통합)</w:t>
            </w:r>
          </w:p>
        </w:tc>
        <w:tc>
          <w:tcPr>
            <w:tcW w:type="dxa" w:w="2494"/>
          </w:tcPr>
          <w:p>
            <w:pPr>
              <w:spacing w:after="20"/>
            </w:pPr>
            <w:r/>
            <w:r>
              <w:rPr>
                <w:sz w:val="19"/>
              </w:rPr>
              <w:t>compileJava·build·마이그레이션 통과</w:t>
            </w:r>
          </w:p>
        </w:tc>
      </w:tr>
      <w:tr>
        <w:tc>
          <w:tcPr>
            <w:tcW w:type="dxa" w:w="2041"/>
          </w:tcPr>
          <w:p>
            <w:pPr>
              <w:spacing w:after="20"/>
            </w:pPr>
            <w:r/>
            <w:r>
              <w:rPr>
                <w:sz w:val="19"/>
              </w:rPr>
              <w:t>C. P0 부스 시공 코어</w:t>
            </w:r>
          </w:p>
        </w:tc>
        <w:tc>
          <w:tcPr>
            <w:tcW w:type="dxa" w:w="4535"/>
          </w:tcPr>
          <w:p>
            <w:pPr>
              <w:spacing w:after="20"/>
            </w:pPr>
            <w:r/>
            <w:r>
              <w:rPr>
                <w:sz w:val="19"/>
              </w:rPr>
              <w:t>Booth polygon·Trench(CAD 추출) 스키마·배치 저장/규정검증(PostGIS)·AI 1·2·3안 생성→선택/병합·SCR-03/04 이식 / 조립/독립 설계·규정 사전검증(높이·리깅·방염)·3안 생성/병합·SCR-06/09 이식 / Wiring LineString·전기/네트워크/급배수 배선·자동 견적·위치표시도·SCR-07/08 이식</w:t>
            </w:r>
          </w:p>
        </w:tc>
        <w:tc>
          <w:tcPr>
            <w:tcW w:type="dxa" w:w="2494"/>
          </w:tcPr>
          <w:p>
            <w:pPr>
              <w:spacing w:after="20"/>
            </w:pPr>
            <w:r/>
            <w:r>
              <w:rPr>
                <w:sz w:val="19"/>
              </w:rPr>
              <w:t>3안 생성·병합·규정 재검증</w:t>
            </w:r>
          </w:p>
        </w:tc>
      </w:tr>
      <w:tr>
        <w:tc>
          <w:tcPr>
            <w:tcW w:type="dxa" w:w="2041"/>
          </w:tcPr>
          <w:p>
            <w:pPr>
              <w:spacing w:after="20"/>
            </w:pPr>
            <w:r/>
            <w:r>
              <w:rPr>
                <w:sz w:val="19"/>
              </w:rPr>
              <w:t>D. P1 도메인</w:t>
            </w:r>
          </w:p>
        </w:tc>
        <w:tc>
          <w:tcPr>
            <w:tcW w:type="dxa" w:w="4535"/>
          </w:tcPr>
          <w:p>
            <w:pPr>
              <w:spacing w:after="20"/>
            </w:pPr>
            <w:r/>
            <w:r>
              <w:rPr>
                <w:sz w:val="19"/>
              </w:rPr>
              <w:t>AI자료 패키지 열람→견적서(Quotation) 제출→역경매(라운드·순위)→전시업체 낙찰/확정→계약/발주. 등록업체만 응찰(M7 검증). Auction 1─N Quotation ─ Award·견적서 PDF/버전 / 등록·티켓(PG)·배지/QR·현장 체크인·리드캡처·관람객 웹/모바일 / 헤드리스 CMS·참가업체 마이크로사이트·일반 대중 공개 홍보 사이트(SEO·다국어)·배너/프로모션·EDM</w:t>
            </w:r>
          </w:p>
        </w:tc>
        <w:tc>
          <w:tcPr>
            <w:tcW w:type="dxa" w:w="2494"/>
          </w:tcPr>
          <w:p>
            <w:pPr>
              <w:spacing w:after="20"/>
            </w:pPr>
            <w:r/>
            <w:r>
              <w:rPr>
                <w:sz w:val="19"/>
              </w:rPr>
              <w:t>견적서 제출·역경매·낙찰 왕복</w:t>
            </w:r>
          </w:p>
        </w:tc>
      </w:tr>
      <w:tr>
        <w:tc>
          <w:tcPr>
            <w:tcW w:type="dxa" w:w="2041"/>
          </w:tcPr>
          <w:p>
            <w:pPr>
              <w:spacing w:after="20"/>
            </w:pPr>
            <w:r/>
            <w:r>
              <w:rPr>
                <w:sz w:val="19"/>
              </w:rPr>
              <w:t>E. P2 + 빌드·배포</w:t>
            </w:r>
          </w:p>
        </w:tc>
        <w:tc>
          <w:tcPr>
            <w:tcW w:type="dxa" w:w="4535"/>
          </w:tcPr>
          <w:p>
            <w:pPr>
              <w:spacing w:after="20"/>
            </w:pPr>
            <w:r/>
            <w:r>
              <w:rPr>
                <w:sz w:val="19"/>
              </w:rPr>
              <w:t>비즈니스 매칭(관람객↔참가업체/바이어) / wayfinding/실내 내비(M2 배치 재사용) / 현장운영(혼잡·안전·주차·에너지)</w:t>
            </w:r>
          </w:p>
        </w:tc>
        <w:tc>
          <w:tcPr>
            <w:tcW w:type="dxa" w:w="2494"/>
          </w:tcPr>
          <w:p>
            <w:pPr>
              <w:spacing w:after="20"/>
            </w:pPr>
            <w:r/>
            <w:r>
              <w:rPr>
                <w:sz w:val="19"/>
              </w:rPr>
              <w:t>추천·미팅예약</w:t>
            </w:r>
          </w:p>
        </w:tc>
      </w:tr>
    </w:tbl>
    <w:p>
      <w:pPr>
        <w:spacing w:after="80"/>
      </w:pPr>
    </w:p>
    <w:p>
      <w:pPr>
        <w:pStyle w:val="Heading2"/>
      </w:pPr>
      <w:r>
        <w:rPr>
          <w:color w:val="116DC3"/>
        </w:rPr>
        <w:t>5.2 마스터 일정 및 마일스톤</w:t>
      </w:r>
    </w:p>
    <w:p>
      <w:pPr>
        <w:spacing w:after="120"/>
      </w:pPr>
      <w:r>
        <w:rPr>
          <w:b w:val="0"/>
          <w:i w:val="0"/>
          <w:sz w:val="21"/>
        </w:rPr>
        <w:t>총 사업 기간은 약 28주(7개월) 기준이며, 착수 시점 확정 후 절대 일정을 확정한다(아래는 착수일 기준 상대 주차).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08"/>
        <w:gridCol w:w="2408"/>
        <w:gridCol w:w="2408"/>
        <w:gridCol w:w="2408"/>
      </w:tblGrid>
      <w:tr>
        <w:tc>
          <w:tcPr>
            <w:tcW w:type="dxa" w:w="2381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Phase</w:t>
            </w:r>
          </w:p>
        </w:tc>
        <w:tc>
          <w:tcPr>
            <w:tcW w:type="dxa" w:w="1020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시작</w:t>
            </w:r>
          </w:p>
        </w:tc>
        <w:tc>
          <w:tcPr>
            <w:tcW w:type="dxa" w:w="1020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종료</w:t>
            </w:r>
          </w:p>
        </w:tc>
        <w:tc>
          <w:tcPr>
            <w:tcW w:type="dxa" w:w="4649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주요 마일스톤</w:t>
            </w:r>
          </w:p>
        </w:tc>
      </w:tr>
      <w:tr>
        <w:tc>
          <w:tcPr>
            <w:tcW w:type="dxa" w:w="2381"/>
          </w:tcPr>
          <w:p>
            <w:pPr>
              <w:spacing w:after="20"/>
            </w:pPr>
            <w:r/>
            <w:r>
              <w:rPr>
                <w:sz w:val="19"/>
              </w:rPr>
              <w:t>A. 아키텍처·거버넌스</w:t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sz w:val="19"/>
              </w:rPr>
              <w:t>W1</w:t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sz w:val="19"/>
              </w:rPr>
              <w:t>W3</w:t>
            </w:r>
          </w:p>
        </w:tc>
        <w:tc>
          <w:tcPr>
            <w:tcW w:type="dxa" w:w="4649"/>
          </w:tcPr>
          <w:p>
            <w:pPr>
              <w:spacing w:after="20"/>
            </w:pPr>
            <w:r/>
            <w:r>
              <w:rPr>
                <w:sz w:val="19"/>
              </w:rPr>
              <w:t>M1 아키텍처 베이스라인 승인(W3)</w:t>
            </w:r>
          </w:p>
        </w:tc>
      </w:tr>
      <w:tr>
        <w:tc>
          <w:tcPr>
            <w:tcW w:type="dxa" w:w="2381"/>
          </w:tcPr>
          <w:p>
            <w:pPr>
              <w:spacing w:after="20"/>
            </w:pPr>
            <w:r/>
            <w:r>
              <w:rPr>
                <w:sz w:val="19"/>
              </w:rPr>
              <w:t>B. 공통/시스템관리 레이어</w:t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sz w:val="19"/>
              </w:rPr>
              <w:t>W3</w:t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sz w:val="19"/>
              </w:rPr>
              <w:t>W8</w:t>
            </w:r>
          </w:p>
        </w:tc>
        <w:tc>
          <w:tcPr>
            <w:tcW w:type="dxa" w:w="4649"/>
          </w:tcPr>
          <w:p>
            <w:pPr>
              <w:spacing w:after="20"/>
            </w:pPr>
            <w:r/>
            <w:r>
              <w:rPr>
                <w:sz w:val="19"/>
              </w:rPr>
              <w:t>M2 공통 레이어·인증(2FA) 완료(W8)</w:t>
            </w:r>
          </w:p>
        </w:tc>
      </w:tr>
      <w:tr>
        <w:tc>
          <w:tcPr>
            <w:tcW w:type="dxa" w:w="2381"/>
          </w:tcPr>
          <w:p>
            <w:pPr>
              <w:spacing w:after="20"/>
            </w:pPr>
            <w:r/>
            <w:r>
              <w:rPr>
                <w:sz w:val="19"/>
              </w:rPr>
              <w:t>C. P0 부스 시공 코어</w:t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sz w:val="19"/>
              </w:rPr>
              <w:t>W8</w:t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sz w:val="19"/>
              </w:rPr>
              <w:t>W16</w:t>
            </w:r>
          </w:p>
        </w:tc>
        <w:tc>
          <w:tcPr>
            <w:tcW w:type="dxa" w:w="4649"/>
          </w:tcPr>
          <w:p>
            <w:pPr>
              <w:spacing w:after="20"/>
            </w:pPr>
            <w:r/>
            <w:r>
              <w:rPr>
                <w:sz w:val="19"/>
              </w:rPr>
              <w:t>M3 P0 부스 코어 시연·첫 상용 행사 적용(W16)</w:t>
            </w:r>
          </w:p>
        </w:tc>
      </w:tr>
      <w:tr>
        <w:tc>
          <w:tcPr>
            <w:tcW w:type="dxa" w:w="2381"/>
          </w:tcPr>
          <w:p>
            <w:pPr>
              <w:spacing w:after="20"/>
            </w:pPr>
            <w:r/>
            <w:r>
              <w:rPr>
                <w:sz w:val="19"/>
              </w:rPr>
              <w:t>D. P1 도메인</w:t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sz w:val="19"/>
              </w:rPr>
              <w:t>W16</w:t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sz w:val="19"/>
              </w:rPr>
              <w:t>W24</w:t>
            </w:r>
          </w:p>
        </w:tc>
        <w:tc>
          <w:tcPr>
            <w:tcW w:type="dxa" w:w="4649"/>
          </w:tcPr>
          <w:p>
            <w:pPr>
              <w:spacing w:after="20"/>
            </w:pPr>
            <w:r/>
            <w:r>
              <w:rPr>
                <w:sz w:val="19"/>
              </w:rPr>
              <w:t>M4 옥션·관람객·BI·관리자 통합(W24)</w:t>
            </w:r>
          </w:p>
        </w:tc>
      </w:tr>
      <w:tr>
        <w:tc>
          <w:tcPr>
            <w:tcW w:type="dxa" w:w="2381"/>
          </w:tcPr>
          <w:p>
            <w:pPr>
              <w:spacing w:after="20"/>
            </w:pPr>
            <w:r/>
            <w:r>
              <w:rPr>
                <w:sz w:val="19"/>
              </w:rPr>
              <w:t>E. P2 + 빌드·배포</w:t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sz w:val="19"/>
              </w:rPr>
              <w:t>W24</w:t>
            </w:r>
          </w:p>
        </w:tc>
        <w:tc>
          <w:tcPr>
            <w:tcW w:type="dxa" w:w="1020"/>
          </w:tcPr>
          <w:p>
            <w:pPr>
              <w:spacing w:after="20"/>
            </w:pPr>
            <w:r/>
            <w:r>
              <w:rPr>
                <w:sz w:val="19"/>
              </w:rPr>
              <w:t>W28</w:t>
            </w:r>
          </w:p>
        </w:tc>
        <w:tc>
          <w:tcPr>
            <w:tcW w:type="dxa" w:w="4649"/>
          </w:tcPr>
          <w:p>
            <w:pPr>
              <w:spacing w:after="20"/>
            </w:pPr>
            <w:r/>
            <w:r>
              <w:rPr>
                <w:sz w:val="19"/>
              </w:rPr>
              <w:t>M5 통합 QA 통과·운영 배포(W28)</w:t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b w:val="0"/>
          <w:i/>
          <w:color w:val="555F6B"/>
          <w:sz w:val="18"/>
        </w:rPr>
        <w:t>※ Phase B는 Phase A와 일부 병행 착수하며, Phase B(공통 레이어) 완료가 Phase C/D 도메인 착수의 선행 전제이다.</w:t>
      </w:r>
    </w:p>
    <w:p>
      <w:pPr>
        <w:pStyle w:val="Heading1"/>
      </w:pPr>
      <w:r>
        <w:rPr>
          <w:color w:val="1F293A"/>
        </w:rPr>
        <w:t>6. 투입 인력 및 투입 계획(M/M)</w:t>
      </w:r>
    </w:p>
    <w:p>
      <w:pPr>
        <w:pStyle w:val="Heading2"/>
      </w:pPr>
      <w:r>
        <w:rPr>
          <w:color w:val="116DC3"/>
        </w:rPr>
        <w:t>6.1 투입 인력 계획</w:t>
      </w:r>
    </w:p>
    <w:p>
      <w:pPr>
        <w:spacing w:after="120"/>
      </w:pPr>
      <w:r>
        <w:rPr>
          <w:b w:val="0"/>
          <w:i w:val="0"/>
          <w:sz w:val="21"/>
        </w:rPr>
        <w:t>역할별 투입 인력과 단계별 투입 공수(M/M)는 아래와 같다. 상세는 별첨 [WBS_및_일정.xlsx]의 '투입인력계획' 시트에 관리한다.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26"/>
        <w:gridCol w:w="1926"/>
        <w:gridCol w:w="1926"/>
        <w:gridCol w:w="1926"/>
        <w:gridCol w:w="1926"/>
      </w:tblGrid>
      <w:tr>
        <w:tc>
          <w:tcPr>
            <w:tcW w:type="dxa" w:w="3118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역할</w:t>
            </w:r>
          </w:p>
        </w:tc>
        <w:tc>
          <w:tcPr>
            <w:tcW w:type="dxa" w:w="1134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인원(명)</w:t>
            </w:r>
          </w:p>
        </w:tc>
        <w:tc>
          <w:tcPr>
            <w:tcW w:type="dxa" w:w="1134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등급</w:t>
            </w:r>
          </w:p>
        </w:tc>
        <w:tc>
          <w:tcPr>
            <w:tcW w:type="dxa" w:w="1587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주 투입 Phase</w:t>
            </w:r>
          </w:p>
        </w:tc>
        <w:tc>
          <w:tcPr>
            <w:tcW w:type="dxa" w:w="2098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투입 공수(M/M)</w:t>
            </w:r>
          </w:p>
        </w:tc>
      </w:tr>
      <w:tr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사업 PM/PMO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1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특급</w:t>
            </w:r>
          </w:p>
        </w:tc>
        <w:tc>
          <w:tcPr>
            <w:tcW w:type="dxa" w:w="1587"/>
          </w:tcPr>
          <w:p>
            <w:pPr>
              <w:spacing w:after="20"/>
            </w:pPr>
            <w:r/>
            <w:r>
              <w:rPr>
                <w:sz w:val="19"/>
              </w:rPr>
              <w:t>A~E 상시</w:t>
            </w:r>
          </w:p>
        </w:tc>
        <w:tc>
          <w:tcPr>
            <w:tcW w:type="dxa" w:w="2098"/>
          </w:tcPr>
          <w:p>
            <w:pPr>
              <w:spacing w:after="20"/>
            </w:pPr>
            <w:r/>
            <w:r>
              <w:rPr>
                <w:sz w:val="19"/>
              </w:rPr>
              <w:t>6.5</w:t>
            </w:r>
          </w:p>
        </w:tc>
      </w:tr>
      <w:tr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아키텍트(AA/SA/TA)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2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특급</w:t>
            </w:r>
          </w:p>
        </w:tc>
        <w:tc>
          <w:tcPr>
            <w:tcW w:type="dxa" w:w="1587"/>
          </w:tcPr>
          <w:p>
            <w:pPr>
              <w:spacing w:after="20"/>
            </w:pPr>
            <w:r/>
            <w:r>
              <w:rPr>
                <w:sz w:val="19"/>
              </w:rPr>
              <w:t>A 집중</w:t>
            </w:r>
          </w:p>
        </w:tc>
        <w:tc>
          <w:tcPr>
            <w:tcW w:type="dxa" w:w="2098"/>
          </w:tcPr>
          <w:p>
            <w:pPr>
              <w:spacing w:after="20"/>
            </w:pPr>
            <w:r/>
            <w:r>
              <w:rPr>
                <w:sz w:val="19"/>
              </w:rPr>
              <w:t>3.0</w:t>
            </w:r>
          </w:p>
        </w:tc>
      </w:tr>
      <w:tr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데이터 아키텍트(DA)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1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고급</w:t>
            </w:r>
          </w:p>
        </w:tc>
        <w:tc>
          <w:tcPr>
            <w:tcW w:type="dxa" w:w="1587"/>
          </w:tcPr>
          <w:p>
            <w:pPr>
              <w:spacing w:after="20"/>
            </w:pPr>
            <w:r/>
            <w:r>
              <w:rPr>
                <w:sz w:val="19"/>
              </w:rPr>
              <w:t>A·D</w:t>
            </w:r>
          </w:p>
        </w:tc>
        <w:tc>
          <w:tcPr>
            <w:tcW w:type="dxa" w:w="2098"/>
          </w:tcPr>
          <w:p>
            <w:pPr>
              <w:spacing w:after="20"/>
            </w:pPr>
            <w:r/>
            <w:r>
              <w:rPr>
                <w:sz w:val="19"/>
              </w:rPr>
              <w:t>2.0</w:t>
            </w:r>
          </w:p>
        </w:tc>
      </w:tr>
      <w:tr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네트워크 아키텍트(NA)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1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고급</w:t>
            </w:r>
          </w:p>
        </w:tc>
        <w:tc>
          <w:tcPr>
            <w:tcW w:type="dxa" w:w="1587"/>
          </w:tcPr>
          <w:p>
            <w:pPr>
              <w:spacing w:after="20"/>
            </w:pPr>
            <w:r/>
            <w:r>
              <w:rPr>
                <w:sz w:val="19"/>
              </w:rPr>
              <w:t>A·E</w:t>
            </w:r>
          </w:p>
        </w:tc>
        <w:tc>
          <w:tcPr>
            <w:tcW w:type="dxa" w:w="2098"/>
          </w:tcPr>
          <w:p>
            <w:pPr>
              <w:spacing w:after="20"/>
            </w:pPr>
            <w:r/>
            <w:r>
              <w:rPr>
                <w:sz w:val="19"/>
              </w:rPr>
              <w:t>1.0</w:t>
            </w:r>
          </w:p>
        </w:tc>
      </w:tr>
      <w:tr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공통/시스템관리 개발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2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중급</w:t>
            </w:r>
          </w:p>
        </w:tc>
        <w:tc>
          <w:tcPr>
            <w:tcW w:type="dxa" w:w="1587"/>
          </w:tcPr>
          <w:p>
            <w:pPr>
              <w:spacing w:after="20"/>
            </w:pPr>
            <w:r/>
            <w:r>
              <w:rPr>
                <w:sz w:val="19"/>
              </w:rPr>
              <w:t>B 집중</w:t>
            </w:r>
          </w:p>
        </w:tc>
        <w:tc>
          <w:tcPr>
            <w:tcW w:type="dxa" w:w="2098"/>
          </w:tcPr>
          <w:p>
            <w:pPr>
              <w:spacing w:after="20"/>
            </w:pPr>
            <w:r/>
            <w:r>
              <w:rPr>
                <w:sz w:val="19"/>
              </w:rPr>
              <w:t>4.0</w:t>
            </w:r>
          </w:p>
        </w:tc>
      </w:tr>
      <w:tr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백엔드 개발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3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중·고급</w:t>
            </w:r>
          </w:p>
        </w:tc>
        <w:tc>
          <w:tcPr>
            <w:tcW w:type="dxa" w:w="1587"/>
          </w:tcPr>
          <w:p>
            <w:pPr>
              <w:spacing w:after="20"/>
            </w:pPr>
            <w:r/>
            <w:r>
              <w:rPr>
                <w:sz w:val="19"/>
              </w:rPr>
              <w:t>B~D</w:t>
            </w:r>
          </w:p>
        </w:tc>
        <w:tc>
          <w:tcPr>
            <w:tcW w:type="dxa" w:w="2098"/>
          </w:tcPr>
          <w:p>
            <w:pPr>
              <w:spacing w:after="20"/>
            </w:pPr>
            <w:r/>
            <w:r>
              <w:rPr>
                <w:sz w:val="19"/>
              </w:rPr>
              <w:t>12.0</w:t>
            </w:r>
          </w:p>
        </w:tc>
      </w:tr>
      <w:tr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프론트엔드 개발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3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중·고급</w:t>
            </w:r>
          </w:p>
        </w:tc>
        <w:tc>
          <w:tcPr>
            <w:tcW w:type="dxa" w:w="1587"/>
          </w:tcPr>
          <w:p>
            <w:pPr>
              <w:spacing w:after="20"/>
            </w:pPr>
            <w:r/>
            <w:r>
              <w:rPr>
                <w:sz w:val="19"/>
              </w:rPr>
              <w:t>B~E</w:t>
            </w:r>
          </w:p>
        </w:tc>
        <w:tc>
          <w:tcPr>
            <w:tcW w:type="dxa" w:w="2098"/>
          </w:tcPr>
          <w:p>
            <w:pPr>
              <w:spacing w:after="20"/>
            </w:pPr>
            <w:r/>
            <w:r>
              <w:rPr>
                <w:sz w:val="19"/>
              </w:rPr>
              <w:t>12.0</w:t>
            </w:r>
          </w:p>
        </w:tc>
      </w:tr>
      <w:tr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DB 엔지니어(PostGIS)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1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고급</w:t>
            </w:r>
          </w:p>
        </w:tc>
        <w:tc>
          <w:tcPr>
            <w:tcW w:type="dxa" w:w="1587"/>
          </w:tcPr>
          <w:p>
            <w:pPr>
              <w:spacing w:after="20"/>
            </w:pPr>
            <w:r/>
            <w:r>
              <w:rPr>
                <w:sz w:val="19"/>
              </w:rPr>
              <w:t>B~D</w:t>
            </w:r>
          </w:p>
        </w:tc>
        <w:tc>
          <w:tcPr>
            <w:tcW w:type="dxa" w:w="2098"/>
          </w:tcPr>
          <w:p>
            <w:pPr>
              <w:spacing w:after="20"/>
            </w:pPr>
            <w:r/>
            <w:r>
              <w:rPr>
                <w:sz w:val="19"/>
              </w:rPr>
              <w:t>4.5</w:t>
            </w:r>
          </w:p>
        </w:tc>
      </w:tr>
      <w:tr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AI 개발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1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고급</w:t>
            </w:r>
          </w:p>
        </w:tc>
        <w:tc>
          <w:tcPr>
            <w:tcW w:type="dxa" w:w="1587"/>
          </w:tcPr>
          <w:p>
            <w:pPr>
              <w:spacing w:after="20"/>
            </w:pPr>
            <w:r/>
            <w:r>
              <w:rPr>
                <w:sz w:val="19"/>
              </w:rPr>
              <w:t>C~D</w:t>
            </w:r>
          </w:p>
        </w:tc>
        <w:tc>
          <w:tcPr>
            <w:tcW w:type="dxa" w:w="2098"/>
          </w:tcPr>
          <w:p>
            <w:pPr>
              <w:spacing w:after="20"/>
            </w:pPr>
            <w:r/>
            <w:r>
              <w:rPr>
                <w:sz w:val="19"/>
              </w:rPr>
              <w:t>3.0</w:t>
            </w:r>
          </w:p>
        </w:tc>
      </w:tr>
      <w:tr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시각화(나노바나나)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1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고급</w:t>
            </w:r>
          </w:p>
        </w:tc>
        <w:tc>
          <w:tcPr>
            <w:tcW w:type="dxa" w:w="1587"/>
          </w:tcPr>
          <w:p>
            <w:pPr>
              <w:spacing w:after="20"/>
            </w:pPr>
            <w:r/>
            <w:r>
              <w:rPr>
                <w:sz w:val="19"/>
              </w:rPr>
              <w:t>C</w:t>
            </w:r>
          </w:p>
        </w:tc>
        <w:tc>
          <w:tcPr>
            <w:tcW w:type="dxa" w:w="2098"/>
          </w:tcPr>
          <w:p>
            <w:pPr>
              <w:spacing w:after="20"/>
            </w:pPr>
            <w:r/>
            <w:r>
              <w:rPr>
                <w:sz w:val="19"/>
              </w:rPr>
              <w:t>2.0</w:t>
            </w:r>
          </w:p>
        </w:tc>
      </w:tr>
      <w:tr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도메인 개발(옥션/관람객/CMS/BI/관리자)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3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중·고급</w:t>
            </w:r>
          </w:p>
        </w:tc>
        <w:tc>
          <w:tcPr>
            <w:tcW w:type="dxa" w:w="1587"/>
          </w:tcPr>
          <w:p>
            <w:pPr>
              <w:spacing w:after="20"/>
            </w:pPr>
            <w:r/>
            <w:r>
              <w:rPr>
                <w:sz w:val="19"/>
              </w:rPr>
              <w:t>D 집중</w:t>
            </w:r>
          </w:p>
        </w:tc>
        <w:tc>
          <w:tcPr>
            <w:tcW w:type="dxa" w:w="2098"/>
          </w:tcPr>
          <w:p>
            <w:pPr>
              <w:spacing w:after="20"/>
            </w:pPr>
            <w:r/>
            <w:r>
              <w:rPr>
                <w:sz w:val="19"/>
              </w:rPr>
              <w:t>9.0</w:t>
            </w:r>
          </w:p>
        </w:tc>
      </w:tr>
      <w:tr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QA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2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중급</w:t>
            </w:r>
          </w:p>
        </w:tc>
        <w:tc>
          <w:tcPr>
            <w:tcW w:type="dxa" w:w="1587"/>
          </w:tcPr>
          <w:p>
            <w:pPr>
              <w:spacing w:after="20"/>
            </w:pPr>
            <w:r/>
            <w:r>
              <w:rPr>
                <w:sz w:val="19"/>
              </w:rPr>
              <w:t>B~E 상시</w:t>
            </w:r>
          </w:p>
        </w:tc>
        <w:tc>
          <w:tcPr>
            <w:tcW w:type="dxa" w:w="2098"/>
          </w:tcPr>
          <w:p>
            <w:pPr>
              <w:spacing w:after="20"/>
            </w:pPr>
            <w:r/>
            <w:r>
              <w:rPr>
                <w:sz w:val="19"/>
              </w:rPr>
              <w:t>8.0</w:t>
            </w:r>
          </w:p>
        </w:tc>
      </w:tr>
      <w:tr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DevOps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1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고급</w:t>
            </w:r>
          </w:p>
        </w:tc>
        <w:tc>
          <w:tcPr>
            <w:tcW w:type="dxa" w:w="1587"/>
          </w:tcPr>
          <w:p>
            <w:pPr>
              <w:spacing w:after="20"/>
            </w:pPr>
            <w:r/>
            <w:r>
              <w:rPr>
                <w:sz w:val="19"/>
              </w:rPr>
              <w:t>B·E</w:t>
            </w:r>
          </w:p>
        </w:tc>
        <w:tc>
          <w:tcPr>
            <w:tcW w:type="dxa" w:w="2098"/>
          </w:tcPr>
          <w:p>
            <w:pPr>
              <w:spacing w:after="20"/>
            </w:pPr>
            <w:r/>
            <w:r>
              <w:rPr>
                <w:sz w:val="19"/>
              </w:rPr>
              <w:t>2.5</w:t>
            </w:r>
          </w:p>
        </w:tc>
      </w:tr>
      <w:tr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디자이너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1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sz w:val="19"/>
              </w:rPr>
              <w:t>고급</w:t>
            </w:r>
          </w:p>
        </w:tc>
        <w:tc>
          <w:tcPr>
            <w:tcW w:type="dxa" w:w="1587"/>
          </w:tcPr>
          <w:p>
            <w:pPr>
              <w:spacing w:after="20"/>
            </w:pPr>
            <w:r/>
            <w:r>
              <w:rPr>
                <w:sz w:val="19"/>
              </w:rPr>
              <w:t>A~E</w:t>
            </w:r>
          </w:p>
        </w:tc>
        <w:tc>
          <w:tcPr>
            <w:tcW w:type="dxa" w:w="2098"/>
          </w:tcPr>
          <w:p>
            <w:pPr>
              <w:spacing w:after="20"/>
            </w:pPr>
            <w:r/>
            <w:r>
              <w:rPr>
                <w:sz w:val="19"/>
              </w:rPr>
              <w:t>3.0</w:t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b/>
          <w:i w:val="0"/>
          <w:color w:val="1F293A"/>
          <w:sz w:val="20"/>
        </w:rPr>
        <w:t>합계(계획): 인원 약 23명(중복 참여 포함), 총 투입 공수 약 72.5 M/M(추정치, 착수 시 상세 산정).</w:t>
      </w:r>
    </w:p>
    <w:p>
      <w:pPr>
        <w:pStyle w:val="Heading2"/>
      </w:pPr>
      <w:r>
        <w:rPr>
          <w:color w:val="116DC3"/>
        </w:rPr>
        <w:t>6.2 투입 원칙</w:t>
      </w:r>
    </w:p>
    <w:p>
      <w:pPr>
        <w:pStyle w:val="ListBullet"/>
        <w:spacing w:after="40"/>
      </w:pPr>
      <w:r>
        <w:t>Phase B(공통 레이어)에 개발 인력을 선집중하여 전 도메인 기반을 조기 확보.</w:t>
      </w:r>
    </w:p>
    <w:p>
      <w:pPr>
        <w:pStyle w:val="ListBullet"/>
        <w:spacing w:after="40"/>
      </w:pPr>
      <w:r>
        <w:t>아키텍트는 Phase A에 집중 투입 후 각 Phase 착수 시 표준 준수를 검수.</w:t>
      </w:r>
    </w:p>
    <w:p>
      <w:pPr>
        <w:pStyle w:val="ListBullet"/>
        <w:spacing w:after="40"/>
      </w:pPr>
      <w:r>
        <w:t>QA는 전 Phase 상시 배치하여 모듈 완성 직후 점진 검증을 수행.</w:t>
      </w:r>
    </w:p>
    <w:p>
      <w:pPr>
        <w:pStyle w:val="Heading1"/>
      </w:pPr>
      <w:r>
        <w:rPr>
          <w:color w:val="1F293A"/>
        </w:rPr>
        <w:t>7. 품질보증 계획</w:t>
      </w:r>
    </w:p>
    <w:p>
      <w:pPr>
        <w:pStyle w:val="Heading2"/>
      </w:pPr>
      <w:r>
        <w:rPr>
          <w:color w:val="116DC3"/>
        </w:rPr>
        <w:t>7.1 품질 목표 및 기준</w:t>
      </w:r>
    </w:p>
    <w:p>
      <w:pPr>
        <w:pStyle w:val="ListBullet"/>
        <w:spacing w:after="40"/>
      </w:pPr>
      <w:r>
        <w:t>기능 품질: 모듈별 완료 기준(WBS) 충족, 경계면(API 응답 shape↔프론트 호출) 불일치 0.</w:t>
      </w:r>
    </w:p>
    <w:p>
      <w:pPr>
        <w:pStyle w:val="ListBullet"/>
        <w:spacing w:after="40"/>
      </w:pPr>
      <w:r>
        <w:t>코드 품질: 표준 프레임워크·아키텍처 표준 준수, 정적 분석·코드 리뷰 통과.</w:t>
      </w:r>
    </w:p>
    <w:p>
      <w:pPr>
        <w:pStyle w:val="ListBullet"/>
        <w:spacing w:after="40"/>
      </w:pPr>
      <w:r>
        <w:t>회귀 품질: 스모크/회귀 테스트로 기존 기능 무회귀 보장.</w:t>
      </w:r>
    </w:p>
    <w:p>
      <w:pPr>
        <w:pStyle w:val="ListBullet"/>
        <w:spacing w:after="40"/>
      </w:pPr>
      <w:r>
        <w:t>보안 품질: 보안 불변 규칙(8장) 위반 0 — 위반 시 반려 사유.</w:t>
      </w:r>
    </w:p>
    <w:p>
      <w:pPr>
        <w:pStyle w:val="Heading2"/>
      </w:pPr>
      <w:r>
        <w:rPr>
          <w:color w:val="116DC3"/>
        </w:rPr>
        <w:t>7.2 품질보증 활동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08"/>
        <w:gridCol w:w="2408"/>
        <w:gridCol w:w="2408"/>
        <w:gridCol w:w="2408"/>
      </w:tblGrid>
      <w:tr>
        <w:tc>
          <w:tcPr>
            <w:tcW w:type="dxa" w:w="2551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활동</w:t>
            </w:r>
          </w:p>
        </w:tc>
        <w:tc>
          <w:tcPr>
            <w:tcW w:type="dxa" w:w="1701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시점</w:t>
            </w:r>
          </w:p>
        </w:tc>
        <w:tc>
          <w:tcPr>
            <w:tcW w:type="dxa" w:w="1701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담당</w:t>
            </w:r>
          </w:p>
        </w:tc>
        <w:tc>
          <w:tcPr>
            <w:tcW w:type="dxa" w:w="3118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산출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sz w:val="19"/>
              </w:rPr>
              <w:t>아키텍처 정합 검증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Phase A 종료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reviewer</w:t>
            </w:r>
          </w:p>
        </w:tc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불일치 티켓·시정 확인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sz w:val="19"/>
              </w:rPr>
              <w:t>점진 QA(모듈 완성 직후)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각 모듈 완성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QA</w:t>
            </w:r>
          </w:p>
        </w:tc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경계면·회귀·보안 검증 결과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sz w:val="19"/>
              </w:rPr>
              <w:t>코드 리뷰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커밋/PR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개발 리드</w:t>
            </w:r>
          </w:p>
        </w:tc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리뷰 코멘트·조치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sz w:val="19"/>
              </w:rPr>
              <w:t>스모크·회귀 테스트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배포 전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QA/DevOps</w:t>
            </w:r>
          </w:p>
        </w:tc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테스트 리포트</w:t>
            </w:r>
          </w:p>
        </w:tc>
      </w:tr>
      <w:tr>
        <w:tc>
          <w:tcPr>
            <w:tcW w:type="dxa" w:w="2551"/>
          </w:tcPr>
          <w:p>
            <w:pPr>
              <w:spacing w:after="20"/>
            </w:pPr>
            <w:r/>
            <w:r>
              <w:rPr>
                <w:sz w:val="19"/>
              </w:rPr>
              <w:t>보안 체크리스트 점검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배포·리뷰 전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QA</w:t>
            </w:r>
          </w:p>
        </w:tc>
        <w:tc>
          <w:tcPr>
            <w:tcW w:type="dxa" w:w="3118"/>
          </w:tcPr>
          <w:p>
            <w:pPr>
              <w:spacing w:after="20"/>
            </w:pPr>
            <w:r/>
            <w:r>
              <w:rPr>
                <w:sz w:val="19"/>
              </w:rPr>
              <w:t>체크리스트 결과(8장)</w:t>
            </w:r>
          </w:p>
        </w:tc>
      </w:tr>
    </w:tbl>
    <w:p>
      <w:pPr>
        <w:spacing w:after="80"/>
      </w:pPr>
    </w:p>
    <w:p>
      <w:pPr>
        <w:pStyle w:val="Heading2"/>
      </w:pPr>
      <w:r>
        <w:rPr>
          <w:color w:val="116DC3"/>
        </w:rPr>
        <w:t>7.3 품질 게이트</w:t>
      </w:r>
    </w:p>
    <w:p>
      <w:pPr>
        <w:spacing w:after="120"/>
      </w:pPr>
      <w:r>
        <w:rPr>
          <w:b w:val="0"/>
          <w:i w:val="0"/>
          <w:sz w:val="21"/>
        </w:rPr>
        <w:t>각 Phase 종료 및 배포 직전에 품질 게이트를 두어 완료 기준·경계면 정합·보안 체크리스트·회귀 통과를 확인하고 통과 시에만 다음 단계로 진행한다.</w:t>
      </w:r>
    </w:p>
    <w:p>
      <w:pPr>
        <w:pStyle w:val="Heading1"/>
      </w:pPr>
      <w:r>
        <w:rPr>
          <w:color w:val="1F293A"/>
        </w:rPr>
        <w:t>8. 보안 및 개인정보보호 계획</w:t>
      </w:r>
    </w:p>
    <w:p>
      <w:pPr>
        <w:pStyle w:val="Heading2"/>
      </w:pPr>
      <w:r>
        <w:rPr>
          <w:color w:val="116DC3"/>
        </w:rPr>
        <w:t>8.1 보안 불변 원칙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16"/>
        <w:gridCol w:w="4816"/>
      </w:tblGrid>
      <w:tr>
        <w:tc>
          <w:tcPr>
            <w:tcW w:type="dxa" w:w="1984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7087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원칙</w:t>
            </w:r>
          </w:p>
        </w:tc>
      </w:tr>
      <w:tr>
        <w:tc>
          <w:tcPr>
            <w:tcW w:type="dxa" w:w="1984"/>
          </w:tcPr>
          <w:p>
            <w:pPr>
              <w:spacing w:after="20"/>
            </w:pPr>
            <w:r/>
            <w:r>
              <w:rPr>
                <w:sz w:val="19"/>
              </w:rPr>
              <w:t>외부 API 정책</w:t>
            </w:r>
          </w:p>
        </w:tc>
        <w:tc>
          <w:tcPr>
            <w:tcW w:type="dxa" w:w="7087"/>
          </w:tcPr>
          <w:p>
            <w:pPr>
              <w:spacing w:after="20"/>
            </w:pPr>
            <w:r/>
            <w:r>
              <w:rPr>
                <w:sz w:val="19"/>
              </w:rPr>
              <w:t>온프레미스 모델 우선. 텍스트 AI는 승인된 단일 예외 경로만, 이미지 생성은 킨텍스 고유 승인 예외(워커 전용). 그 외 외부 API 금지.</w:t>
            </w:r>
          </w:p>
        </w:tc>
      </w:tr>
      <w:tr>
        <w:tc>
          <w:tcPr>
            <w:tcW w:type="dxa" w:w="1984"/>
          </w:tcPr>
          <w:p>
            <w:pPr>
              <w:spacing w:after="20"/>
            </w:pPr>
            <w:r/>
            <w:r>
              <w:rPr>
                <w:sz w:val="19"/>
              </w:rPr>
              <w:t>자격증명 보호</w:t>
            </w:r>
          </w:p>
        </w:tc>
        <w:tc>
          <w:tcPr>
            <w:tcW w:type="dxa" w:w="7087"/>
          </w:tcPr>
          <w:p>
            <w:pPr>
              <w:spacing w:after="20"/>
            </w:pPr>
            <w:r/>
            <w:r>
              <w:rPr>
                <w:sz w:val="19"/>
              </w:rPr>
              <w:t>내부 IP·SSH 계정·비밀번호·해시·API 키·워커 토큰을 API 응답·로그·에러·커밋에 절대 노출 금지.</w:t>
            </w:r>
          </w:p>
        </w:tc>
      </w:tr>
      <w:tr>
        <w:tc>
          <w:tcPr>
            <w:tcW w:type="dxa" w:w="1984"/>
          </w:tcPr>
          <w:p>
            <w:pPr>
              <w:spacing w:after="20"/>
            </w:pPr>
            <w:r/>
            <w:r>
              <w:rPr>
                <w:sz w:val="19"/>
              </w:rPr>
              <w:t>암호화 저장</w:t>
            </w:r>
          </w:p>
        </w:tc>
        <w:tc>
          <w:tcPr>
            <w:tcW w:type="dxa" w:w="7087"/>
          </w:tcPr>
          <w:p>
            <w:pPr>
              <w:spacing w:after="20"/>
            </w:pPr>
            <w:r/>
            <w:r>
              <w:rPr>
                <w:sz w:val="19"/>
              </w:rPr>
              <w:t>admin 비밀번호는 env(AES-256-GCM 암호문)+별도 키파일로 기동 시 재시드(하드코딩 시드 금지). 저장 자격증명은 암호화 컬럼에만.</w:t>
            </w:r>
          </w:p>
        </w:tc>
      </w:tr>
      <w:tr>
        <w:tc>
          <w:tcPr>
            <w:tcW w:type="dxa" w:w="1984"/>
          </w:tcPr>
          <w:p>
            <w:pPr>
              <w:spacing w:after="20"/>
            </w:pPr>
            <w:r/>
            <w:r>
              <w:rPr>
                <w:sz w:val="19"/>
              </w:rPr>
              <w:t>인증·권한</w:t>
            </w:r>
          </w:p>
        </w:tc>
        <w:tc>
          <w:tcPr>
            <w:tcW w:type="dxa" w:w="7087"/>
          </w:tcPr>
          <w:p>
            <w:pPr>
              <w:spacing w:after="20"/>
            </w:pPr>
            <w:r/>
            <w:r>
              <w:rPr>
                <w:sz w:val="19"/>
              </w:rPr>
              <w:t>JWT(HS256)+2차 인증(OTP/EMAIL)+로그인 실패 잠금. 행사 단위 RBAC. 미등록 장치업체 초대·응찰 차단.</w:t>
            </w:r>
          </w:p>
        </w:tc>
      </w:tr>
      <w:tr>
        <w:tc>
          <w:tcPr>
            <w:tcW w:type="dxa" w:w="1984"/>
          </w:tcPr>
          <w:p>
            <w:pPr>
              <w:spacing w:after="20"/>
            </w:pPr>
            <w:r/>
            <w:r>
              <w:rPr>
                <w:sz w:val="19"/>
              </w:rPr>
              <w:t>AI 이미지 워터마크</w:t>
            </w:r>
          </w:p>
        </w:tc>
        <w:tc>
          <w:tcPr>
            <w:tcW w:type="dxa" w:w="7087"/>
          </w:tcPr>
          <w:p>
            <w:pPr>
              <w:spacing w:after="20"/>
            </w:pPr>
            <w:r/>
            <w:r>
              <w:rPr>
                <w:sz w:val="19"/>
              </w:rPr>
              <w:t>시각화 결과는 항상 워터마크·고지 포함(참고용, 계약·인허가 서류 사용 불가).</w:t>
            </w:r>
          </w:p>
        </w:tc>
      </w:tr>
      <w:tr>
        <w:tc>
          <w:tcPr>
            <w:tcW w:type="dxa" w:w="1984"/>
          </w:tcPr>
          <w:p>
            <w:pPr>
              <w:spacing w:after="20"/>
            </w:pPr>
            <w:r/>
            <w:r>
              <w:rPr>
                <w:sz w:val="19"/>
              </w:rPr>
              <w:t>오류 응답</w:t>
            </w:r>
          </w:p>
        </w:tc>
        <w:tc>
          <w:tcPr>
            <w:tcW w:type="dxa" w:w="7087"/>
          </w:tcPr>
          <w:p>
            <w:pPr>
              <w:spacing w:after="20"/>
            </w:pPr>
            <w:r/>
            <w:r>
              <w:rPr>
                <w:sz w:val="19"/>
              </w:rPr>
              <w:t>스택트레이스·relation/컬럼명·내부 경로 미노출. 코드+요약 메시지만 반환.</w:t>
            </w:r>
          </w:p>
        </w:tc>
      </w:tr>
      <w:tr>
        <w:tc>
          <w:tcPr>
            <w:tcW w:type="dxa" w:w="1984"/>
          </w:tcPr>
          <w:p>
            <w:pPr>
              <w:spacing w:after="20"/>
            </w:pPr>
            <w:r/>
            <w:r>
              <w:rPr>
                <w:sz w:val="19"/>
              </w:rPr>
              <w:t>감사 추적</w:t>
            </w:r>
          </w:p>
        </w:tc>
        <w:tc>
          <w:tcPr>
            <w:tcW w:type="dxa" w:w="7087"/>
          </w:tcPr>
          <w:p>
            <w:pPr>
              <w:spacing w:after="20"/>
            </w:pPr>
            <w:r/>
            <w:r>
              <w:rPr>
                <w:sz w:val="19"/>
              </w:rPr>
              <w:t>관리자·인증·권한·낙찰·설계변경·개인정보 접근 등 민감 액션 감사 로그 기록(비밀값 미기재).</w:t>
            </w:r>
          </w:p>
        </w:tc>
      </w:tr>
    </w:tbl>
    <w:p>
      <w:pPr>
        <w:spacing w:after="80"/>
      </w:pPr>
    </w:p>
    <w:p>
      <w:pPr>
        <w:pStyle w:val="Heading2"/>
      </w:pPr>
      <w:r>
        <w:rPr>
          <w:color w:val="116DC3"/>
        </w:rPr>
        <w:t>8.2 개인정보보호</w:t>
      </w:r>
    </w:p>
    <w:p>
      <w:pPr>
        <w:pStyle w:val="ListBullet"/>
        <w:spacing w:after="40"/>
      </w:pPr>
      <w:r>
        <w:t>관람객 배지 QR·리드캡처 데이터는 수집·이용 동의 및 보존 기간 정책을 필수 적용.</w:t>
      </w:r>
    </w:p>
    <w:p>
      <w:pPr>
        <w:pStyle w:val="ListBullet"/>
        <w:spacing w:after="40"/>
      </w:pPr>
      <w:r>
        <w:t>리드(개인정보) 접근은 감사 로그로 전수 기록, 표시 필드는 비민감 항목으로 최소화.</w:t>
      </w:r>
    </w:p>
    <w:p>
      <w:pPr>
        <w:pStyle w:val="ListBullet"/>
        <w:spacing w:after="40"/>
      </w:pPr>
      <w:r>
        <w:t>EDM 발송은 정보통신망법·수신 동의 규정을 준수.</w:t>
      </w:r>
    </w:p>
    <w:p>
      <w:pPr>
        <w:pStyle w:val="ListBullet"/>
        <w:spacing w:after="40"/>
      </w:pPr>
      <w:r>
        <w:t>개인정보는 최소 수집·목적 제한·접근 통제(RBAC) 원칙을 적용.</w:t>
      </w:r>
    </w:p>
    <w:p>
      <w:pPr>
        <w:pStyle w:val="Heading2"/>
      </w:pPr>
      <w:r>
        <w:rPr>
          <w:color w:val="116DC3"/>
        </w:rPr>
        <w:t>8.3 보안 체크리스트(배포·리뷰 전)</w:t>
      </w:r>
    </w:p>
    <w:p>
      <w:pPr>
        <w:pStyle w:val="ListBullet"/>
        <w:spacing w:after="40"/>
      </w:pPr>
      <w:r>
        <w:t>응답/로그/커밋에 IP·SSH·비번·해시·API 키·워커 토큰 노출 0(grep).</w:t>
      </w:r>
    </w:p>
    <w:p>
      <w:pPr>
        <w:pStyle w:val="ListBullet"/>
        <w:spacing w:after="40"/>
      </w:pPr>
      <w:r>
        <w:t>AI 키(텍스트/이미지)는 env only — 코드·DB·커밋 미포함.</w:t>
      </w:r>
    </w:p>
    <w:p>
      <w:pPr>
        <w:pStyle w:val="ListBullet"/>
        <w:spacing w:after="40"/>
      </w:pPr>
      <w:r>
        <w:t>admin 비번 하드코딩 시드 없음(env 재시드).</w:t>
      </w:r>
    </w:p>
    <w:p>
      <w:pPr>
        <w:pStyle w:val="ListBullet"/>
        <w:spacing w:after="40"/>
      </w:pPr>
      <w:r>
        <w:t>시각화 이미지 응답에 워터마크 필드 포함.</w:t>
      </w:r>
    </w:p>
    <w:p>
      <w:pPr>
        <w:pStyle w:val="ListBullet"/>
        <w:spacing w:after="40"/>
      </w:pPr>
      <w:r>
        <w:t>DB/서버 오류 → 요약 메시지(스택·relation 명 미노출).</w:t>
      </w:r>
    </w:p>
    <w:p>
      <w:pPr>
        <w:pStyle w:val="ListBullet"/>
        <w:spacing w:after="40"/>
      </w:pPr>
      <w:r>
        <w:t>관리자 게이트·행사 RBAC·미등록업체 차단 동작.</w:t>
      </w:r>
    </w:p>
    <w:p>
      <w:pPr>
        <w:pStyle w:val="Heading1"/>
      </w:pPr>
      <w:r>
        <w:rPr>
          <w:color w:val="1F293A"/>
        </w:rPr>
        <w:t>9. 시험(테스트) 계획 개요</w:t>
      </w:r>
    </w:p>
    <w:p>
      <w:pPr>
        <w:pStyle w:val="Heading2"/>
      </w:pPr>
      <w:r>
        <w:rPr>
          <w:color w:val="116DC3"/>
        </w:rPr>
        <w:t>9.1 시험 레벨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1"/>
        <w:gridCol w:w="3211"/>
        <w:gridCol w:w="3211"/>
      </w:tblGrid>
      <w:tr>
        <w:tc>
          <w:tcPr>
            <w:tcW w:type="dxa" w:w="1474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레벨</w:t>
            </w:r>
          </w:p>
        </w:tc>
        <w:tc>
          <w:tcPr>
            <w:tcW w:type="dxa" w:w="3628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대상</w:t>
            </w:r>
          </w:p>
        </w:tc>
        <w:tc>
          <w:tcPr>
            <w:tcW w:type="dxa" w:w="3969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방식</w:t>
            </w:r>
          </w:p>
        </w:tc>
      </w:tr>
      <w:tr>
        <w:tc>
          <w:tcPr>
            <w:tcW w:type="dxa" w:w="1474"/>
          </w:tcPr>
          <w:p>
            <w:pPr>
              <w:spacing w:after="20"/>
            </w:pPr>
            <w:r/>
            <w:r>
              <w:rPr>
                <w:sz w:val="19"/>
              </w:rPr>
              <w:t>단위 시험</w:t>
            </w:r>
          </w:p>
        </w:tc>
        <w:tc>
          <w:tcPr>
            <w:tcW w:type="dxa" w:w="3628"/>
          </w:tcPr>
          <w:p>
            <w:pPr>
              <w:spacing w:after="20"/>
            </w:pPr>
            <w:r/>
            <w:r>
              <w:rPr>
                <w:sz w:val="19"/>
              </w:rPr>
              <w:t>서비스·매퍼·룰 엔진·배선 엔진</w:t>
            </w:r>
          </w:p>
        </w:tc>
        <w:tc>
          <w:tcPr>
            <w:tcW w:type="dxa" w:w="3969"/>
          </w:tcPr>
          <w:p>
            <w:pPr>
              <w:spacing w:after="20"/>
            </w:pPr>
            <w:r/>
            <w:r>
              <w:rPr>
                <w:sz w:val="19"/>
              </w:rPr>
              <w:t>개발자 단위 테스트, 공간 연산(PostGIS) 정합 검증</w:t>
            </w:r>
          </w:p>
        </w:tc>
      </w:tr>
      <w:tr>
        <w:tc>
          <w:tcPr>
            <w:tcW w:type="dxa" w:w="1474"/>
          </w:tcPr>
          <w:p>
            <w:pPr>
              <w:spacing w:after="20"/>
            </w:pPr>
            <w:r/>
            <w:r>
              <w:rPr>
                <w:sz w:val="19"/>
              </w:rPr>
              <w:t>통합 시험</w:t>
            </w:r>
          </w:p>
        </w:tc>
        <w:tc>
          <w:tcPr>
            <w:tcW w:type="dxa" w:w="3628"/>
          </w:tcPr>
          <w:p>
            <w:pPr>
              <w:spacing w:after="20"/>
            </w:pPr>
            <w:r/>
            <w:r>
              <w:rPr>
                <w:sz w:val="19"/>
              </w:rPr>
              <w:t>모듈 간 경계면(API↔프론트, 큐↔워커)</w:t>
            </w:r>
          </w:p>
        </w:tc>
        <w:tc>
          <w:tcPr>
            <w:tcW w:type="dxa" w:w="3969"/>
          </w:tcPr>
          <w:p>
            <w:pPr>
              <w:spacing w:after="20"/>
            </w:pPr>
            <w:r/>
            <w:r>
              <w:rPr>
                <w:sz w:val="19"/>
              </w:rPr>
              <w:t>API 응답 shape 대조, WebSocket/큐 왕복</w:t>
            </w:r>
          </w:p>
        </w:tc>
      </w:tr>
      <w:tr>
        <w:tc>
          <w:tcPr>
            <w:tcW w:type="dxa" w:w="1474"/>
          </w:tcPr>
          <w:p>
            <w:pPr>
              <w:spacing w:after="20"/>
            </w:pPr>
            <w:r/>
            <w:r>
              <w:rPr>
                <w:sz w:val="19"/>
              </w:rPr>
              <w:t>시스템 시험</w:t>
            </w:r>
          </w:p>
        </w:tc>
        <w:tc>
          <w:tcPr>
            <w:tcW w:type="dxa" w:w="3628"/>
          </w:tcPr>
          <w:p>
            <w:pPr>
              <w:spacing w:after="20"/>
            </w:pPr>
            <w:r/>
            <w:r>
              <w:rPr>
                <w:sz w:val="19"/>
              </w:rPr>
              <w:t>역할별 시나리오(주최자/참가/업체/홀매니저/관람객)</w:t>
            </w:r>
          </w:p>
        </w:tc>
        <w:tc>
          <w:tcPr>
            <w:tcW w:type="dxa" w:w="3969"/>
          </w:tcPr>
          <w:p>
            <w:pPr>
              <w:spacing w:after="20"/>
            </w:pPr>
            <w:r/>
            <w:r>
              <w:rPr>
                <w:sz w:val="19"/>
              </w:rPr>
              <w:t>E2E 시나리오·규정 검증·시각화 워터마크 확인</w:t>
            </w:r>
          </w:p>
        </w:tc>
      </w:tr>
      <w:tr>
        <w:tc>
          <w:tcPr>
            <w:tcW w:type="dxa" w:w="1474"/>
          </w:tcPr>
          <w:p>
            <w:pPr>
              <w:spacing w:after="20"/>
            </w:pPr>
            <w:r/>
            <w:r>
              <w:rPr>
                <w:sz w:val="19"/>
              </w:rPr>
              <w:t>회귀·스모크</w:t>
            </w:r>
          </w:p>
        </w:tc>
        <w:tc>
          <w:tcPr>
            <w:tcW w:type="dxa" w:w="3628"/>
          </w:tcPr>
          <w:p>
            <w:pPr>
              <w:spacing w:after="20"/>
            </w:pPr>
            <w:r/>
            <w:r>
              <w:rPr>
                <w:sz w:val="19"/>
              </w:rPr>
              <w:t>전 기능</w:t>
            </w:r>
          </w:p>
        </w:tc>
        <w:tc>
          <w:tcPr>
            <w:tcW w:type="dxa" w:w="3969"/>
          </w:tcPr>
          <w:p>
            <w:pPr>
              <w:spacing w:after="20"/>
            </w:pPr>
            <w:r/>
            <w:r>
              <w:rPr>
                <w:sz w:val="19"/>
              </w:rPr>
              <w:t>배포 전 스모크(헬스+라우터 등록+로그인 프로브)·회귀</w:t>
            </w:r>
          </w:p>
        </w:tc>
      </w:tr>
      <w:tr>
        <w:tc>
          <w:tcPr>
            <w:tcW w:type="dxa" w:w="1474"/>
          </w:tcPr>
          <w:p>
            <w:pPr>
              <w:spacing w:after="20"/>
            </w:pPr>
            <w:r/>
            <w:r>
              <w:rPr>
                <w:sz w:val="19"/>
              </w:rPr>
              <w:t>보안 시험</w:t>
            </w:r>
          </w:p>
        </w:tc>
        <w:tc>
          <w:tcPr>
            <w:tcW w:type="dxa" w:w="3628"/>
          </w:tcPr>
          <w:p>
            <w:pPr>
              <w:spacing w:after="20"/>
            </w:pPr>
            <w:r/>
            <w:r>
              <w:rPr>
                <w:sz w:val="19"/>
              </w:rPr>
              <w:t>보안 불변 규칙</w:t>
            </w:r>
          </w:p>
        </w:tc>
        <w:tc>
          <w:tcPr>
            <w:tcW w:type="dxa" w:w="3969"/>
          </w:tcPr>
          <w:p>
            <w:pPr>
              <w:spacing w:after="20"/>
            </w:pPr>
            <w:r/>
            <w:r>
              <w:rPr>
                <w:sz w:val="19"/>
              </w:rPr>
              <w:t>자격증명 미노출·RBAC 우회·스택트레이스 차단 점검</w:t>
            </w:r>
          </w:p>
        </w:tc>
      </w:tr>
    </w:tbl>
    <w:p>
      <w:pPr>
        <w:spacing w:after="80"/>
      </w:pPr>
    </w:p>
    <w:p>
      <w:pPr>
        <w:pStyle w:val="Heading2"/>
      </w:pPr>
      <w:r>
        <w:rPr>
          <w:color w:val="116DC3"/>
        </w:rPr>
        <w:t>9.2 시험 원칙</w:t>
      </w:r>
    </w:p>
    <w:p>
      <w:pPr>
        <w:pStyle w:val="ListBullet"/>
        <w:spacing w:after="40"/>
      </w:pPr>
      <w:r>
        <w:t>각 모듈 완성 직후 QA가 점진 검증하고, 통과할 때까지 반려.</w:t>
      </w:r>
    </w:p>
    <w:p>
      <w:pPr>
        <w:pStyle w:val="ListBullet"/>
        <w:spacing w:after="40"/>
      </w:pPr>
      <w:r>
        <w:t>공간 로직(배치·배선·규정 검증)과 시각화 워터마크 강제는 필수 검증 항목.</w:t>
      </w:r>
    </w:p>
    <w:p>
      <w:pPr>
        <w:pStyle w:val="ListBullet"/>
        <w:spacing w:after="40"/>
      </w:pPr>
      <w:r>
        <w:t>시험 케이스·결과는 별첨 [WBS_및_일정.xlsx]의 '시험케이스' 시트와 형상관리 하 리포트로 관리.</w:t>
      </w:r>
    </w:p>
    <w:p>
      <w:pPr>
        <w:pStyle w:val="Heading1"/>
      </w:pPr>
      <w:r>
        <w:rPr>
          <w:color w:val="1F293A"/>
        </w:rPr>
        <w:t>10. 이관·교육 및 유지보수 계획</w:t>
      </w:r>
    </w:p>
    <w:p>
      <w:pPr>
        <w:pStyle w:val="Heading2"/>
      </w:pPr>
      <w:r>
        <w:rPr>
          <w:color w:val="116DC3"/>
        </w:rPr>
        <w:t>10.1 이관 계획</w:t>
      </w:r>
    </w:p>
    <w:p>
      <w:pPr>
        <w:pStyle w:val="ListBullet"/>
        <w:spacing w:after="40"/>
      </w:pPr>
      <w:r>
        <w:t>빌드 산출물(프론트 번들·백엔드 실행 파일·워커 서비스)과 마스터데이터·형상 이력을 발주처 운영 환경으로 이관.</w:t>
      </w:r>
    </w:p>
    <w:p>
      <w:pPr>
        <w:pStyle w:val="ListBullet"/>
        <w:spacing w:after="40"/>
      </w:pPr>
      <w:r>
        <w:t>이관 시 무중단·헬스게이트·롤백(Fail-Safe) 배포 절차를 적용.</w:t>
      </w:r>
    </w:p>
    <w:p>
      <w:pPr>
        <w:pStyle w:val="ListBullet"/>
        <w:spacing w:after="40"/>
      </w:pPr>
      <w:r>
        <w:t>운영 도메인·운영 환경변수 배선은 발주처 승인 하에 수행.</w:t>
      </w:r>
    </w:p>
    <w:p>
      <w:pPr>
        <w:pStyle w:val="Heading2"/>
      </w:pPr>
      <w:r>
        <w:rPr>
          <w:color w:val="116DC3"/>
        </w:rPr>
        <w:t>10.2 교육 계획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1"/>
        <w:gridCol w:w="3211"/>
        <w:gridCol w:w="3211"/>
      </w:tblGrid>
      <w:tr>
        <w:tc>
          <w:tcPr>
            <w:tcW w:type="dxa" w:w="2268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대상</w:t>
            </w:r>
          </w:p>
        </w:tc>
        <w:tc>
          <w:tcPr>
            <w:tcW w:type="dxa" w:w="4535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교육 내용</w:t>
            </w:r>
          </w:p>
        </w:tc>
        <w:tc>
          <w:tcPr>
            <w:tcW w:type="dxa" w:w="2268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형식</w:t>
            </w:r>
          </w:p>
        </w:tc>
      </w:tr>
      <w:tr>
        <w:tc>
          <w:tcPr>
            <w:tcW w:type="dxa" w:w="2268"/>
          </w:tcPr>
          <w:p>
            <w:pPr>
              <w:spacing w:after="20"/>
            </w:pPr>
            <w:r/>
            <w:r>
              <w:rPr>
                <w:sz w:val="19"/>
              </w:rPr>
              <w:t>운영자/관리자</w:t>
            </w:r>
          </w:p>
        </w:tc>
        <w:tc>
          <w:tcPr>
            <w:tcW w:type="dxa" w:w="4535"/>
          </w:tcPr>
          <w:p>
            <w:pPr>
              <w:spacing w:after="20"/>
            </w:pPr>
            <w:r/>
            <w:r>
              <w:rPr>
                <w:sz w:val="19"/>
              </w:rPr>
              <w:t>백오피스(RBAC·마스터데이터·규정 룰셋)·감사·시스템설정</w:t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sz w:val="19"/>
              </w:rPr>
              <w:t>운영자 지침서+실습</w:t>
            </w:r>
          </w:p>
        </w:tc>
      </w:tr>
      <w:tr>
        <w:tc>
          <w:tcPr>
            <w:tcW w:type="dxa" w:w="2268"/>
          </w:tcPr>
          <w:p>
            <w:pPr>
              <w:spacing w:after="20"/>
            </w:pPr>
            <w:r/>
            <w:r>
              <w:rPr>
                <w:sz w:val="19"/>
              </w:rPr>
              <w:t>킨텍스 운영팀(홀매니저)</w:t>
            </w:r>
          </w:p>
        </w:tc>
        <w:tc>
          <w:tcPr>
            <w:tcW w:type="dxa" w:w="4535"/>
          </w:tcPr>
          <w:p>
            <w:pPr>
              <w:spacing w:after="20"/>
            </w:pPr>
            <w:r/>
            <w:r>
              <w:rPr>
                <w:sz w:val="19"/>
              </w:rPr>
              <w:t>배치 검수·규정 플래그·현장 운영 대시보드</w:t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sz w:val="19"/>
              </w:rPr>
              <w:t>사용자 지침서+실습</w:t>
            </w:r>
          </w:p>
        </w:tc>
      </w:tr>
      <w:tr>
        <w:tc>
          <w:tcPr>
            <w:tcW w:type="dxa" w:w="2268"/>
          </w:tcPr>
          <w:p>
            <w:pPr>
              <w:spacing w:after="20"/>
            </w:pPr>
            <w:r/>
            <w:r>
              <w:rPr>
                <w:sz w:val="19"/>
              </w:rPr>
              <w:t>주최자/참가업체</w:t>
            </w:r>
          </w:p>
        </w:tc>
        <w:tc>
          <w:tcPr>
            <w:tcW w:type="dxa" w:w="4535"/>
          </w:tcPr>
          <w:p>
            <w:pPr>
              <w:spacing w:after="20"/>
            </w:pPr>
            <w:r/>
            <w:r>
              <w:rPr>
                <w:sz w:val="19"/>
              </w:rPr>
              <w:t>포털 사용(배정·설계·유틸리티·옥션·관람객)</w:t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sz w:val="19"/>
              </w:rPr>
              <w:t>사용자 지침서·온라인 가이드</w:t>
            </w:r>
          </w:p>
        </w:tc>
      </w:tr>
    </w:tbl>
    <w:p>
      <w:pPr>
        <w:spacing w:after="80"/>
      </w:pPr>
    </w:p>
    <w:p>
      <w:pPr>
        <w:pStyle w:val="Heading2"/>
      </w:pPr>
      <w:r>
        <w:rPr>
          <w:color w:val="116DC3"/>
        </w:rPr>
        <w:t>10.3 유지보수 계획</w:t>
      </w:r>
    </w:p>
    <w:p>
      <w:pPr>
        <w:pStyle w:val="ListBullet"/>
        <w:spacing w:after="40"/>
      </w:pPr>
      <w:r>
        <w:t>장애 대응·정기 점검·규정/요율 개정 반영(룰셋 버전 관리)을 유지보수 범위로 한다.</w:t>
      </w:r>
    </w:p>
    <w:p>
      <w:pPr>
        <w:pStyle w:val="ListBullet"/>
        <w:spacing w:after="40"/>
      </w:pPr>
      <w:r>
        <w:t>운영 런북(헬스체크·재기동·롤백)을 기준으로 SM 운영 체계를 수립.</w:t>
      </w:r>
    </w:p>
    <w:p>
      <w:pPr>
        <w:pStyle w:val="ListBullet"/>
        <w:spacing w:after="40"/>
      </w:pPr>
      <w:r>
        <w:t>규정·요율 연 단위 개정은 관리자 백오피스 룰셋 버전 관리로 안전 반영.</w:t>
      </w:r>
    </w:p>
    <w:p>
      <w:pPr>
        <w:pStyle w:val="Heading1"/>
      </w:pPr>
      <w:r>
        <w:rPr>
          <w:color w:val="1F293A"/>
        </w:rPr>
        <w:t>11. 위험(리스크) 관리</w:t>
      </w:r>
    </w:p>
    <w:p>
      <w:pPr>
        <w:spacing w:after="120"/>
      </w:pPr>
      <w:r>
        <w:rPr>
          <w:b w:val="0"/>
          <w:i w:val="0"/>
          <w:sz w:val="21"/>
        </w:rPr>
        <w:t>주요 리스크와 대응 방안은 아래와 같으며, 형상관리 하 리스크 대장으로 지속 관리한다.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08"/>
        <w:gridCol w:w="2408"/>
        <w:gridCol w:w="2408"/>
        <w:gridCol w:w="2408"/>
      </w:tblGrid>
      <w:tr>
        <w:tc>
          <w:tcPr>
            <w:tcW w:type="dxa" w:w="680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ID</w:t>
            </w:r>
          </w:p>
        </w:tc>
        <w:tc>
          <w:tcPr>
            <w:tcW w:type="dxa" w:w="2381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리스크</w:t>
            </w:r>
          </w:p>
        </w:tc>
        <w:tc>
          <w:tcPr>
            <w:tcW w:type="dxa" w:w="1474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영향</w:t>
            </w:r>
          </w:p>
        </w:tc>
        <w:tc>
          <w:tcPr>
            <w:tcW w:type="dxa" w:w="4535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대응 방안</w:t>
            </w:r>
          </w:p>
        </w:tc>
      </w:tr>
      <w:tr>
        <w:tc>
          <w:tcPr>
            <w:tcW w:type="dxa" w:w="680"/>
          </w:tcPr>
          <w:p>
            <w:pPr>
              <w:spacing w:after="20"/>
            </w:pPr>
            <w:r/>
            <w:r>
              <w:rPr>
                <w:sz w:val="19"/>
              </w:rPr>
              <w:t>R1</w:t>
            </w:r>
          </w:p>
        </w:tc>
        <w:tc>
          <w:tcPr>
            <w:tcW w:type="dxa" w:w="2381"/>
          </w:tcPr>
          <w:p>
            <w:pPr>
              <w:spacing w:after="20"/>
            </w:pPr>
            <w:r/>
            <w:r>
              <w:rPr>
                <w:sz w:val="19"/>
              </w:rPr>
              <w:t>홀 실측 CAD 원본 미확보</w:t>
            </w:r>
          </w:p>
        </w:tc>
        <w:tc>
          <w:tcPr>
            <w:tcW w:type="dxa" w:w="1474"/>
          </w:tcPr>
          <w:p>
            <w:pPr>
              <w:spacing w:after="20"/>
            </w:pPr>
            <w:r/>
            <w:r>
              <w:rPr>
                <w:sz w:val="19"/>
              </w:rPr>
              <w:t>배치 정밀도</w:t>
            </w:r>
          </w:p>
        </w:tc>
        <w:tc>
          <w:tcPr>
            <w:tcW w:type="dxa" w:w="4535"/>
          </w:tcPr>
          <w:p>
            <w:pPr>
              <w:spacing w:after="20"/>
            </w:pPr>
            <w:r/>
            <w:r>
              <w:rPr>
                <w:sz w:val="19"/>
              </w:rPr>
              <w:t>공개 규격 근사 도면으로 진행, 확보 시 대체</w:t>
            </w:r>
          </w:p>
        </w:tc>
      </w:tr>
      <w:tr>
        <w:tc>
          <w:tcPr>
            <w:tcW w:type="dxa" w:w="680"/>
          </w:tcPr>
          <w:p>
            <w:pPr>
              <w:spacing w:after="20"/>
            </w:pPr>
            <w:r/>
            <w:r>
              <w:rPr>
                <w:sz w:val="19"/>
              </w:rPr>
              <w:t>R2</w:t>
            </w:r>
          </w:p>
        </w:tc>
        <w:tc>
          <w:tcPr>
            <w:tcW w:type="dxa" w:w="2381"/>
          </w:tcPr>
          <w:p>
            <w:pPr>
              <w:spacing w:after="20"/>
            </w:pPr>
            <w:r/>
            <w:r>
              <w:rPr>
                <w:sz w:val="19"/>
              </w:rPr>
              <w:t>이미지 생성(외부) 승인 게이트</w:t>
            </w:r>
          </w:p>
        </w:tc>
        <w:tc>
          <w:tcPr>
            <w:tcW w:type="dxa" w:w="1474"/>
          </w:tcPr>
          <w:p>
            <w:pPr>
              <w:spacing w:after="20"/>
            </w:pPr>
            <w:r/>
            <w:r>
              <w:rPr>
                <w:sz w:val="19"/>
              </w:rPr>
              <w:t>M5 시각화</w:t>
            </w:r>
          </w:p>
        </w:tc>
        <w:tc>
          <w:tcPr>
            <w:tcW w:type="dxa" w:w="4535"/>
          </w:tcPr>
          <w:p>
            <w:pPr>
              <w:spacing w:after="20"/>
            </w:pPr>
            <w:r/>
            <w:r>
              <w:rPr>
                <w:sz w:val="19"/>
              </w:rPr>
              <w:t>미승인 시 목/degraded, 승인 후 라이브</w:t>
            </w:r>
          </w:p>
        </w:tc>
      </w:tr>
      <w:tr>
        <w:tc>
          <w:tcPr>
            <w:tcW w:type="dxa" w:w="680"/>
          </w:tcPr>
          <w:p>
            <w:pPr>
              <w:spacing w:after="20"/>
            </w:pPr>
            <w:r/>
            <w:r>
              <w:rPr>
                <w:sz w:val="19"/>
              </w:rPr>
              <w:t>R3</w:t>
            </w:r>
          </w:p>
        </w:tc>
        <w:tc>
          <w:tcPr>
            <w:tcW w:type="dxa" w:w="2381"/>
          </w:tcPr>
          <w:p>
            <w:pPr>
              <w:spacing w:after="20"/>
            </w:pPr>
            <w:r/>
            <w:r>
              <w:rPr>
                <w:sz w:val="19"/>
              </w:rPr>
              <w:t>외부 시스템(작업신고/PG/KT) 연동 미공개</w:t>
            </w:r>
          </w:p>
        </w:tc>
        <w:tc>
          <w:tcPr>
            <w:tcW w:type="dxa" w:w="1474"/>
          </w:tcPr>
          <w:p>
            <w:pPr>
              <w:spacing w:after="20"/>
            </w:pPr>
            <w:r/>
            <w:r>
              <w:rPr>
                <w:sz w:val="19"/>
              </w:rPr>
              <w:t>M6/M9/M4b</w:t>
            </w:r>
          </w:p>
        </w:tc>
        <w:tc>
          <w:tcPr>
            <w:tcW w:type="dxa" w:w="4535"/>
          </w:tcPr>
          <w:p>
            <w:pPr>
              <w:spacing w:after="20"/>
            </w:pPr>
            <w:r/>
            <w:r>
              <w:rPr>
                <w:sz w:val="19"/>
              </w:rPr>
              <w:t>제출용 파일·릴레이 방식, 협의 후 연동</w:t>
            </w:r>
          </w:p>
        </w:tc>
      </w:tr>
      <w:tr>
        <w:tc>
          <w:tcPr>
            <w:tcW w:type="dxa" w:w="680"/>
          </w:tcPr>
          <w:p>
            <w:pPr>
              <w:spacing w:after="20"/>
            </w:pPr>
            <w:r/>
            <w:r>
              <w:rPr>
                <w:sz w:val="19"/>
              </w:rPr>
              <w:t>R4</w:t>
            </w:r>
          </w:p>
        </w:tc>
        <w:tc>
          <w:tcPr>
            <w:tcW w:type="dxa" w:w="2381"/>
          </w:tcPr>
          <w:p>
            <w:pPr>
              <w:spacing w:after="20"/>
            </w:pPr>
            <w:r/>
            <w:r>
              <w:rPr>
                <w:sz w:val="19"/>
              </w:rPr>
              <w:t>등록업체 옥션 참여율·응찰 품질</w:t>
            </w:r>
          </w:p>
        </w:tc>
        <w:tc>
          <w:tcPr>
            <w:tcW w:type="dxa" w:w="1474"/>
          </w:tcPr>
          <w:p>
            <w:pPr>
              <w:spacing w:after="20"/>
            </w:pPr>
            <w:r/>
            <w:r>
              <w:rPr>
                <w:sz w:val="19"/>
              </w:rPr>
              <w:t>M15 실효성</w:t>
            </w:r>
          </w:p>
        </w:tc>
        <w:tc>
          <w:tcPr>
            <w:tcW w:type="dxa" w:w="4535"/>
          </w:tcPr>
          <w:p>
            <w:pPr>
              <w:spacing w:after="20"/>
            </w:pPr>
            <w:r/>
            <w:r>
              <w:rPr>
                <w:sz w:val="19"/>
              </w:rPr>
              <w:t>등록업체 게이트·AI 자료 공정 비교 유인</w:t>
            </w:r>
          </w:p>
        </w:tc>
      </w:tr>
      <w:tr>
        <w:tc>
          <w:tcPr>
            <w:tcW w:type="dxa" w:w="680"/>
          </w:tcPr>
          <w:p>
            <w:pPr>
              <w:spacing w:after="20"/>
            </w:pPr>
            <w:r/>
            <w:r>
              <w:rPr>
                <w:sz w:val="19"/>
              </w:rPr>
              <w:t>R5</w:t>
            </w:r>
          </w:p>
        </w:tc>
        <w:tc>
          <w:tcPr>
            <w:tcW w:type="dxa" w:w="2381"/>
          </w:tcPr>
          <w:p>
            <w:pPr>
              <w:spacing w:after="20"/>
            </w:pPr>
            <w:r/>
            <w:r>
              <w:rPr>
                <w:sz w:val="19"/>
              </w:rPr>
              <w:t>개인정보(리드·배지) 규정 위반</w:t>
            </w:r>
          </w:p>
        </w:tc>
        <w:tc>
          <w:tcPr>
            <w:tcW w:type="dxa" w:w="1474"/>
          </w:tcPr>
          <w:p>
            <w:pPr>
              <w:spacing w:after="20"/>
            </w:pPr>
            <w:r/>
            <w:r>
              <w:rPr>
                <w:sz w:val="19"/>
              </w:rPr>
              <w:t>법적 리스크</w:t>
            </w:r>
          </w:p>
        </w:tc>
        <w:tc>
          <w:tcPr>
            <w:tcW w:type="dxa" w:w="4535"/>
          </w:tcPr>
          <w:p>
            <w:pPr>
              <w:spacing w:after="20"/>
            </w:pPr>
            <w:r/>
            <w:r>
              <w:rPr>
                <w:sz w:val="19"/>
              </w:rPr>
              <w:t>동의·보존정책·감사·최소 수집</w:t>
            </w:r>
          </w:p>
        </w:tc>
      </w:tr>
      <w:tr>
        <w:tc>
          <w:tcPr>
            <w:tcW w:type="dxa" w:w="680"/>
          </w:tcPr>
          <w:p>
            <w:pPr>
              <w:spacing w:after="20"/>
            </w:pPr>
            <w:r/>
            <w:r>
              <w:rPr>
                <w:sz w:val="19"/>
              </w:rPr>
              <w:t>R6</w:t>
            </w:r>
          </w:p>
        </w:tc>
        <w:tc>
          <w:tcPr>
            <w:tcW w:type="dxa" w:w="2381"/>
          </w:tcPr>
          <w:p>
            <w:pPr>
              <w:spacing w:after="20"/>
            </w:pPr>
            <w:r/>
            <w:r>
              <w:rPr>
                <w:sz w:val="19"/>
              </w:rPr>
              <w:t>AI 시각화 오용(계약 서류)</w:t>
            </w:r>
          </w:p>
        </w:tc>
        <w:tc>
          <w:tcPr>
            <w:tcW w:type="dxa" w:w="1474"/>
          </w:tcPr>
          <w:p>
            <w:pPr>
              <w:spacing w:after="20"/>
            </w:pPr>
            <w:r/>
            <w:r>
              <w:rPr>
                <w:sz w:val="19"/>
              </w:rPr>
              <w:t>분쟁 리스크</w:t>
            </w:r>
          </w:p>
        </w:tc>
        <w:tc>
          <w:tcPr>
            <w:tcW w:type="dxa" w:w="4535"/>
          </w:tcPr>
          <w:p>
            <w:pPr>
              <w:spacing w:after="20"/>
            </w:pPr>
            <w:r/>
            <w:r>
              <w:rPr>
                <w:sz w:val="19"/>
              </w:rPr>
              <w:t>워터마크·고지 강제(UI·응답·PDF)</w:t>
            </w:r>
          </w:p>
        </w:tc>
      </w:tr>
      <w:tr>
        <w:tc>
          <w:tcPr>
            <w:tcW w:type="dxa" w:w="680"/>
          </w:tcPr>
          <w:p>
            <w:pPr>
              <w:spacing w:after="20"/>
            </w:pPr>
            <w:r/>
            <w:r>
              <w:rPr>
                <w:sz w:val="19"/>
              </w:rPr>
              <w:t>R7</w:t>
            </w:r>
          </w:p>
        </w:tc>
        <w:tc>
          <w:tcPr>
            <w:tcW w:type="dxa" w:w="2381"/>
          </w:tcPr>
          <w:p>
            <w:pPr>
              <w:spacing w:after="20"/>
            </w:pPr>
            <w:r/>
            <w:r>
              <w:rPr>
                <w:sz w:val="19"/>
              </w:rPr>
              <w:t>공통 레이어 지연</w:t>
            </w:r>
          </w:p>
        </w:tc>
        <w:tc>
          <w:tcPr>
            <w:tcW w:type="dxa" w:w="1474"/>
          </w:tcPr>
          <w:p>
            <w:pPr>
              <w:spacing w:after="20"/>
            </w:pPr>
            <w:r/>
            <w:r>
              <w:rPr>
                <w:sz w:val="19"/>
              </w:rPr>
              <w:t>일정</w:t>
            </w:r>
          </w:p>
        </w:tc>
        <w:tc>
          <w:tcPr>
            <w:tcW w:type="dxa" w:w="4535"/>
          </w:tcPr>
          <w:p>
            <w:pPr>
              <w:spacing w:after="20"/>
            </w:pPr>
            <w:r/>
            <w:r>
              <w:rPr>
                <w:sz w:val="19"/>
              </w:rPr>
              <w:t>Phase B 인력 선집중·병행 착수</w:t>
            </w:r>
          </w:p>
        </w:tc>
      </w:tr>
      <w:tr>
        <w:tc>
          <w:tcPr>
            <w:tcW w:type="dxa" w:w="680"/>
          </w:tcPr>
          <w:p>
            <w:pPr>
              <w:spacing w:after="20"/>
            </w:pPr>
            <w:r/>
            <w:r>
              <w:rPr>
                <w:sz w:val="19"/>
              </w:rPr>
              <w:t>R8</w:t>
            </w:r>
          </w:p>
        </w:tc>
        <w:tc>
          <w:tcPr>
            <w:tcW w:type="dxa" w:w="2381"/>
          </w:tcPr>
          <w:p>
            <w:pPr>
              <w:spacing w:after="20"/>
            </w:pPr>
            <w:r/>
            <w:r>
              <w:rPr>
                <w:sz w:val="19"/>
              </w:rPr>
              <w:t>규정·요율 개정</w:t>
            </w:r>
          </w:p>
        </w:tc>
        <w:tc>
          <w:tcPr>
            <w:tcW w:type="dxa" w:w="1474"/>
          </w:tcPr>
          <w:p>
            <w:pPr>
              <w:spacing w:after="20"/>
            </w:pPr>
            <w:r/>
            <w:r>
              <w:rPr>
                <w:sz w:val="19"/>
              </w:rPr>
              <w:t>정합성</w:t>
            </w:r>
          </w:p>
        </w:tc>
        <w:tc>
          <w:tcPr>
            <w:tcW w:type="dxa" w:w="4535"/>
          </w:tcPr>
          <w:p>
            <w:pPr>
              <w:spacing w:after="20"/>
            </w:pPr>
            <w:r/>
            <w:r>
              <w:rPr>
                <w:sz w:val="19"/>
              </w:rPr>
              <w:t>룰셋 버전 관리·과거 버전 보존</w:t>
            </w:r>
          </w:p>
        </w:tc>
      </w:tr>
    </w:tbl>
    <w:p>
      <w:pPr>
        <w:spacing w:after="80"/>
      </w:pPr>
    </w:p>
    <w:p>
      <w:pPr>
        <w:pStyle w:val="Heading1"/>
      </w:pPr>
      <w:r>
        <w:rPr>
          <w:color w:val="1F293A"/>
        </w:rPr>
        <w:t>12. 의사소통·보고 체계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08"/>
        <w:gridCol w:w="2408"/>
        <w:gridCol w:w="2408"/>
        <w:gridCol w:w="2408"/>
      </w:tblGrid>
      <w:tr>
        <w:tc>
          <w:tcPr>
            <w:tcW w:type="dxa" w:w="2041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보고/회의</w:t>
            </w:r>
          </w:p>
        </w:tc>
        <w:tc>
          <w:tcPr>
            <w:tcW w:type="dxa" w:w="1474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주기</w:t>
            </w:r>
          </w:p>
        </w:tc>
        <w:tc>
          <w:tcPr>
            <w:tcW w:type="dxa" w:w="1928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참여</w:t>
            </w:r>
          </w:p>
        </w:tc>
        <w:tc>
          <w:tcPr>
            <w:tcW w:type="dxa" w:w="3628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내용</w:t>
            </w:r>
          </w:p>
        </w:tc>
      </w:tr>
      <w:tr>
        <w:tc>
          <w:tcPr>
            <w:tcW w:type="dxa" w:w="2041"/>
          </w:tcPr>
          <w:p>
            <w:pPr>
              <w:spacing w:after="20"/>
            </w:pPr>
            <w:r/>
            <w:r>
              <w:rPr>
                <w:sz w:val="19"/>
              </w:rPr>
              <w:t>착수 보고</w:t>
            </w:r>
          </w:p>
        </w:tc>
        <w:tc>
          <w:tcPr>
            <w:tcW w:type="dxa" w:w="1474"/>
          </w:tcPr>
          <w:p>
            <w:pPr>
              <w:spacing w:after="20"/>
            </w:pPr>
            <w:r/>
            <w:r>
              <w:rPr>
                <w:sz w:val="19"/>
              </w:rPr>
              <w:t>사업 착수 시</w:t>
            </w:r>
          </w:p>
        </w:tc>
        <w:tc>
          <w:tcPr>
            <w:tcW w:type="dxa" w:w="1928"/>
          </w:tcPr>
          <w:p>
            <w:pPr>
              <w:spacing w:after="20"/>
            </w:pPr>
            <w:r/>
            <w:r>
              <w:rPr>
                <w:sz w:val="19"/>
              </w:rPr>
              <w:t>발주처·PMO</w:t>
            </w:r>
          </w:p>
        </w:tc>
        <w:tc>
          <w:tcPr>
            <w:tcW w:type="dxa" w:w="3628"/>
          </w:tcPr>
          <w:p>
            <w:pPr>
              <w:spacing w:after="20"/>
            </w:pPr>
            <w:r/>
            <w:r>
              <w:rPr>
                <w:sz w:val="19"/>
              </w:rPr>
              <w:t>범위·일정·조직·리스크 확정</w:t>
            </w:r>
          </w:p>
        </w:tc>
      </w:tr>
      <w:tr>
        <w:tc>
          <w:tcPr>
            <w:tcW w:type="dxa" w:w="2041"/>
          </w:tcPr>
          <w:p>
            <w:pPr>
              <w:spacing w:after="20"/>
            </w:pPr>
            <w:r/>
            <w:r>
              <w:rPr>
                <w:sz w:val="19"/>
              </w:rPr>
              <w:t>주간 진척 보고</w:t>
            </w:r>
          </w:p>
        </w:tc>
        <w:tc>
          <w:tcPr>
            <w:tcW w:type="dxa" w:w="1474"/>
          </w:tcPr>
          <w:p>
            <w:pPr>
              <w:spacing w:after="20"/>
            </w:pPr>
            <w:r/>
            <w:r>
              <w:rPr>
                <w:sz w:val="19"/>
              </w:rPr>
              <w:t>주 1회</w:t>
            </w:r>
          </w:p>
        </w:tc>
        <w:tc>
          <w:tcPr>
            <w:tcW w:type="dxa" w:w="1928"/>
          </w:tcPr>
          <w:p>
            <w:pPr>
              <w:spacing w:after="20"/>
            </w:pPr>
            <w:r/>
            <w:r>
              <w:rPr>
                <w:sz w:val="19"/>
              </w:rPr>
              <w:t>PMO·개발 리드</w:t>
            </w:r>
          </w:p>
        </w:tc>
        <w:tc>
          <w:tcPr>
            <w:tcW w:type="dxa" w:w="3628"/>
          </w:tcPr>
          <w:p>
            <w:pPr>
              <w:spacing w:after="20"/>
            </w:pPr>
            <w:r/>
            <w:r>
              <w:rPr>
                <w:sz w:val="19"/>
              </w:rPr>
              <w:t>진척·이슈·리스크·다음 주 계획</w:t>
            </w:r>
          </w:p>
        </w:tc>
      </w:tr>
      <w:tr>
        <w:tc>
          <w:tcPr>
            <w:tcW w:type="dxa" w:w="2041"/>
          </w:tcPr>
          <w:p>
            <w:pPr>
              <w:spacing w:after="20"/>
            </w:pPr>
            <w:r/>
            <w:r>
              <w:rPr>
                <w:sz w:val="19"/>
              </w:rPr>
              <w:t>Phase 종료 보고</w:t>
            </w:r>
          </w:p>
        </w:tc>
        <w:tc>
          <w:tcPr>
            <w:tcW w:type="dxa" w:w="1474"/>
          </w:tcPr>
          <w:p>
            <w:pPr>
              <w:spacing w:after="20"/>
            </w:pPr>
            <w:r/>
            <w:r>
              <w:rPr>
                <w:sz w:val="19"/>
              </w:rPr>
              <w:t>각 Phase 종료</w:t>
            </w:r>
          </w:p>
        </w:tc>
        <w:tc>
          <w:tcPr>
            <w:tcW w:type="dxa" w:w="1928"/>
          </w:tcPr>
          <w:p>
            <w:pPr>
              <w:spacing w:after="20"/>
            </w:pPr>
            <w:r/>
            <w:r>
              <w:rPr>
                <w:sz w:val="19"/>
              </w:rPr>
              <w:t>발주처·PMO</w:t>
            </w:r>
          </w:p>
        </w:tc>
        <w:tc>
          <w:tcPr>
            <w:tcW w:type="dxa" w:w="3628"/>
          </w:tcPr>
          <w:p>
            <w:pPr>
              <w:spacing w:after="20"/>
            </w:pPr>
            <w:r/>
            <w:r>
              <w:rPr>
                <w:sz w:val="19"/>
              </w:rPr>
              <w:t>산출물·품질 게이트 결과·다음 단계</w:t>
            </w:r>
          </w:p>
        </w:tc>
      </w:tr>
      <w:tr>
        <w:tc>
          <w:tcPr>
            <w:tcW w:type="dxa" w:w="2041"/>
          </w:tcPr>
          <w:p>
            <w:pPr>
              <w:spacing w:after="20"/>
            </w:pPr>
            <w:r/>
            <w:r>
              <w:rPr>
                <w:sz w:val="19"/>
              </w:rPr>
              <w:t>단계별 검토회의</w:t>
            </w:r>
          </w:p>
        </w:tc>
        <w:tc>
          <w:tcPr>
            <w:tcW w:type="dxa" w:w="1474"/>
          </w:tcPr>
          <w:p>
            <w:pPr>
              <w:spacing w:after="20"/>
            </w:pPr>
            <w:r/>
            <w:r>
              <w:rPr>
                <w:sz w:val="19"/>
              </w:rPr>
              <w:t>마일스톤</w:t>
            </w:r>
          </w:p>
        </w:tc>
        <w:tc>
          <w:tcPr>
            <w:tcW w:type="dxa" w:w="1928"/>
          </w:tcPr>
          <w:p>
            <w:pPr>
              <w:spacing w:after="20"/>
            </w:pPr>
            <w:r/>
            <w:r>
              <w:rPr>
                <w:sz w:val="19"/>
              </w:rPr>
              <w:t>전 트랙</w:t>
            </w:r>
          </w:p>
        </w:tc>
        <w:tc>
          <w:tcPr>
            <w:tcW w:type="dxa" w:w="3628"/>
          </w:tcPr>
          <w:p>
            <w:pPr>
              <w:spacing w:after="20"/>
            </w:pPr>
            <w:r/>
            <w:r>
              <w:rPr>
                <w:sz w:val="19"/>
              </w:rPr>
              <w:t>경계면 정합·아키텍처 준수 점검</w:t>
            </w:r>
          </w:p>
        </w:tc>
      </w:tr>
      <w:tr>
        <w:tc>
          <w:tcPr>
            <w:tcW w:type="dxa" w:w="2041"/>
          </w:tcPr>
          <w:p>
            <w:pPr>
              <w:spacing w:after="20"/>
            </w:pPr>
            <w:r/>
            <w:r>
              <w:rPr>
                <w:sz w:val="19"/>
              </w:rPr>
              <w:t>완료(준공) 보고</w:t>
            </w:r>
          </w:p>
        </w:tc>
        <w:tc>
          <w:tcPr>
            <w:tcW w:type="dxa" w:w="1474"/>
          </w:tcPr>
          <w:p>
            <w:pPr>
              <w:spacing w:after="20"/>
            </w:pPr>
            <w:r/>
            <w:r>
              <w:rPr>
                <w:sz w:val="19"/>
              </w:rPr>
              <w:t>사업 종료</w:t>
            </w:r>
          </w:p>
        </w:tc>
        <w:tc>
          <w:tcPr>
            <w:tcW w:type="dxa" w:w="1928"/>
          </w:tcPr>
          <w:p>
            <w:pPr>
              <w:spacing w:after="20"/>
            </w:pPr>
            <w:r/>
            <w:r>
              <w:rPr>
                <w:sz w:val="19"/>
              </w:rPr>
              <w:t>발주처·PMO</w:t>
            </w:r>
          </w:p>
        </w:tc>
        <w:tc>
          <w:tcPr>
            <w:tcW w:type="dxa" w:w="3628"/>
          </w:tcPr>
          <w:p>
            <w:pPr>
              <w:spacing w:after="20"/>
            </w:pPr>
            <w:r/>
            <w:r>
              <w:rPr>
                <w:sz w:val="19"/>
              </w:rPr>
              <w:t>통합 QA 결과·이관·교육·유지보수 인계</w:t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b w:val="0"/>
          <w:i/>
          <w:color w:val="555F6B"/>
          <w:sz w:val="18"/>
        </w:rPr>
        <w:t>긴급 이슈는 즉시 에스컬레이션하며, 모든 의사결정·변경은 형상관리(14장) 절차로 기록한다.</w:t>
      </w:r>
    </w:p>
    <w:p>
      <w:pPr>
        <w:pStyle w:val="Heading1"/>
      </w:pPr>
      <w:r>
        <w:rPr>
          <w:color w:val="1F293A"/>
        </w:rPr>
        <w:t>13. 산출물 목록(단계별 표준 산출물)</w:t>
      </w:r>
    </w:p>
    <w:p>
      <w:pPr>
        <w:spacing w:after="120"/>
      </w:pPr>
      <w:r>
        <w:rPr>
          <w:b w:val="0"/>
          <w:i w:val="0"/>
          <w:sz w:val="21"/>
        </w:rPr>
        <w:t>단계별 표준 산출물은 아래와 같으며, 상세 목록·형식·담당·상태는 별첨 [WBS_및_일정.xlsx]의 '산출물목록' 시트에 관리한다.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26"/>
        <w:gridCol w:w="1926"/>
        <w:gridCol w:w="1926"/>
        <w:gridCol w:w="1926"/>
        <w:gridCol w:w="1926"/>
      </w:tblGrid>
      <w:tr>
        <w:tc>
          <w:tcPr>
            <w:tcW w:type="dxa" w:w="1361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단계</w:t>
            </w:r>
          </w:p>
        </w:tc>
        <w:tc>
          <w:tcPr>
            <w:tcW w:type="dxa" w:w="3515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산출물</w:t>
            </w:r>
          </w:p>
        </w:tc>
        <w:tc>
          <w:tcPr>
            <w:tcW w:type="dxa" w:w="1247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형식</w:t>
            </w:r>
          </w:p>
        </w:tc>
        <w:tc>
          <w:tcPr>
            <w:tcW w:type="dxa" w:w="1701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담당</w:t>
            </w:r>
          </w:p>
        </w:tc>
        <w:tc>
          <w:tcPr>
            <w:tcW w:type="dxa" w:w="1247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상태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착수(계획)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사업수행계획서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DOCX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PMO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작성완료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착수(계획)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WBS 및 마스터 일정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XLSX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PMO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작성완료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착수(계획)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산출물 목록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XLSX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PMO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작성완료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착수(계획)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착수보고 자료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PPTX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PMO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작성완료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분석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요구사항 정의서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DOCX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기획(planner)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작성완료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분석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요구사항 추적표(RTM)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XLSX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QA/기획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작성완료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분석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기획서(PLANNING)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MD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기획(planner)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기보유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설계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개발계획서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DOCX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PMO/개발리드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작성완료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설계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화면설계서·UI 스펙(design)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MD/DOCX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디자이너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기보유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설계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아키텍처 설계서(앱/시스템/기술/데이터/네트워크)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MD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아키텍트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기보유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설계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데이터 모델(전사 ERD·BI 데이터마트)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MD/SQL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DA/DB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진행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설계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API 설계서(계약)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MD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AA/백엔드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기보유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구현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소스코드(백엔드·프론트·워커)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Git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개발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진행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구현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DB 스키마·마이그레이션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SQL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DB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진행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시험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시험계획서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DOCX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QA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작성완료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시험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시험케이스·시험결과서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XLSX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QA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작성완료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이관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배포/운영 런북·이관 확인서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MD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DevOps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기보유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교육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사용자 지침서·운영자 지침서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DOCX/PPTX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기술문서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예정</w:t>
            </w:r>
          </w:p>
        </w:tc>
      </w:tr>
      <w:tr>
        <w:tc>
          <w:tcPr>
            <w:tcW w:type="dxa" w:w="1361"/>
          </w:tcPr>
          <w:p>
            <w:pPr>
              <w:spacing w:after="20"/>
            </w:pPr>
            <w:r/>
            <w:r>
              <w:rPr>
                <w:sz w:val="19"/>
              </w:rPr>
              <w:t>종료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sz w:val="19"/>
              </w:rPr>
              <w:t>완료(준공) 보고서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DOCX</w:t>
            </w:r>
          </w:p>
        </w:tc>
        <w:tc>
          <w:tcPr>
            <w:tcW w:type="dxa" w:w="1701"/>
          </w:tcPr>
          <w:p>
            <w:pPr>
              <w:spacing w:after="20"/>
            </w:pPr>
            <w:r/>
            <w:r>
              <w:rPr>
                <w:sz w:val="19"/>
              </w:rPr>
              <w:t>PMO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sz w:val="19"/>
              </w:rPr>
              <w:t>예정</w:t>
            </w:r>
          </w:p>
        </w:tc>
      </w:tr>
    </w:tbl>
    <w:p>
      <w:pPr>
        <w:spacing w:after="80"/>
      </w:pPr>
    </w:p>
    <w:p>
      <w:pPr>
        <w:pStyle w:val="Heading1"/>
      </w:pPr>
      <w:r>
        <w:rPr>
          <w:color w:val="1F293A"/>
        </w:rPr>
        <w:t>14. 형상관리</w:t>
      </w:r>
    </w:p>
    <w:p>
      <w:pPr>
        <w:pStyle w:val="Heading2"/>
      </w:pPr>
      <w:r>
        <w:rPr>
          <w:color w:val="116DC3"/>
        </w:rPr>
        <w:t>14.1 형상관리 원칙</w:t>
      </w:r>
    </w:p>
    <w:p>
      <w:pPr>
        <w:pStyle w:val="ListBullet"/>
        <w:spacing w:after="40"/>
      </w:pPr>
      <w:r>
        <w:t>모든 소스·문서·설정은 Git(Gitea) 저장소로 버전 통제하며, 변경은 커밋 이력으로 추적.</w:t>
      </w:r>
    </w:p>
    <w:p>
      <w:pPr>
        <w:pStyle w:val="ListBullet"/>
        <w:spacing w:after="40"/>
      </w:pPr>
      <w:r>
        <w:t>산출물(계획서·설계서·시험·지침서)은 docs/deliverables/ 지정 경로에서 형상 관리.</w:t>
      </w:r>
    </w:p>
    <w:p>
      <w:pPr>
        <w:pStyle w:val="ListBullet"/>
        <w:spacing w:after="40"/>
      </w:pPr>
      <w:r>
        <w:t>DB 스키마는 Flyway 순번 마이그레이션을 형상 권위로 하며, baseline 규율과 시드 멱등화를 준수.</w:t>
      </w:r>
    </w:p>
    <w:p>
      <w:pPr>
        <w:pStyle w:val="ListBullet"/>
        <w:spacing w:after="40"/>
      </w:pPr>
      <w:r>
        <w:t>배포는 형상(커밋) 기준 CI/CD Webhook으로 무중단·헬스게이트·롤백 수행.</w:t>
      </w:r>
    </w:p>
    <w:p>
      <w:pPr>
        <w:pStyle w:val="Heading2"/>
      </w:pPr>
      <w:r>
        <w:rPr>
          <w:color w:val="116DC3"/>
        </w:rPr>
        <w:t>14.2 형상 항목 및 절차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1"/>
        <w:gridCol w:w="3211"/>
        <w:gridCol w:w="3211"/>
      </w:tblGrid>
      <w:tr>
        <w:tc>
          <w:tcPr>
            <w:tcW w:type="dxa" w:w="1928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형상 항목</w:t>
            </w:r>
          </w:p>
        </w:tc>
        <w:tc>
          <w:tcPr>
            <w:tcW w:type="dxa" w:w="3175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관리 방식</w:t>
            </w:r>
          </w:p>
        </w:tc>
        <w:tc>
          <w:tcPr>
            <w:tcW w:type="dxa" w:w="3969"/>
            <w:shd w:val="clear" w:fill="1F293A"/>
          </w:tcPr>
          <w:p>
            <w:r/>
            <w:r>
              <w:rPr>
                <w:b/>
                <w:color w:val="FFFFFF"/>
                <w:sz w:val="19"/>
              </w:rPr>
              <w:t>변경 절차</w:t>
            </w:r>
          </w:p>
        </w:tc>
      </w:tr>
      <w:tr>
        <w:tc>
          <w:tcPr>
            <w:tcW w:type="dxa" w:w="1928"/>
          </w:tcPr>
          <w:p>
            <w:pPr>
              <w:spacing w:after="20"/>
            </w:pPr>
            <w:r/>
            <w:r>
              <w:rPr>
                <w:sz w:val="19"/>
              </w:rPr>
              <w:t>소스코드</w:t>
            </w:r>
          </w:p>
        </w:tc>
        <w:tc>
          <w:tcPr>
            <w:tcW w:type="dxa" w:w="3175"/>
          </w:tcPr>
          <w:p>
            <w:pPr>
              <w:spacing w:after="20"/>
            </w:pPr>
            <w:r/>
            <w:r>
              <w:rPr>
                <w:sz w:val="19"/>
              </w:rPr>
              <w:t>Git 브랜치·PR·리뷰</w:t>
            </w:r>
          </w:p>
        </w:tc>
        <w:tc>
          <w:tcPr>
            <w:tcW w:type="dxa" w:w="3969"/>
          </w:tcPr>
          <w:p>
            <w:pPr>
              <w:spacing w:after="20"/>
            </w:pPr>
            <w:r/>
            <w:r>
              <w:rPr>
                <w:sz w:val="19"/>
              </w:rPr>
              <w:t>리뷰 승인 후 병합, 커밋 메시지 이력화</w:t>
            </w:r>
          </w:p>
        </w:tc>
      </w:tr>
      <w:tr>
        <w:tc>
          <w:tcPr>
            <w:tcW w:type="dxa" w:w="1928"/>
          </w:tcPr>
          <w:p>
            <w:pPr>
              <w:spacing w:after="20"/>
            </w:pPr>
            <w:r/>
            <w:r>
              <w:rPr>
                <w:sz w:val="19"/>
              </w:rPr>
              <w:t>문서/산출물</w:t>
            </w:r>
          </w:p>
        </w:tc>
        <w:tc>
          <w:tcPr>
            <w:tcW w:type="dxa" w:w="3175"/>
          </w:tcPr>
          <w:p>
            <w:pPr>
              <w:spacing w:after="20"/>
            </w:pPr>
            <w:r/>
            <w:r>
              <w:rPr>
                <w:sz w:val="19"/>
              </w:rPr>
              <w:t>Git 버전·개정 이력</w:t>
            </w:r>
          </w:p>
        </w:tc>
        <w:tc>
          <w:tcPr>
            <w:tcW w:type="dxa" w:w="3969"/>
          </w:tcPr>
          <w:p>
            <w:pPr>
              <w:spacing w:after="20"/>
            </w:pPr>
            <w:r/>
            <w:r>
              <w:rPr>
                <w:sz w:val="19"/>
              </w:rPr>
              <w:t>개정 이력 기록 후 갱신</w:t>
            </w:r>
          </w:p>
        </w:tc>
      </w:tr>
      <w:tr>
        <w:tc>
          <w:tcPr>
            <w:tcW w:type="dxa" w:w="1928"/>
          </w:tcPr>
          <w:p>
            <w:pPr>
              <w:spacing w:after="20"/>
            </w:pPr>
            <w:r/>
            <w:r>
              <w:rPr>
                <w:sz w:val="19"/>
              </w:rPr>
              <w:t>DB 스키마</w:t>
            </w:r>
          </w:p>
        </w:tc>
        <w:tc>
          <w:tcPr>
            <w:tcW w:type="dxa" w:w="3175"/>
          </w:tcPr>
          <w:p>
            <w:pPr>
              <w:spacing w:after="20"/>
            </w:pPr>
            <w:r/>
            <w:r>
              <w:rPr>
                <w:sz w:val="19"/>
              </w:rPr>
              <w:t>Flyway 마이그레이션</w:t>
            </w:r>
          </w:p>
        </w:tc>
        <w:tc>
          <w:tcPr>
            <w:tcW w:type="dxa" w:w="3969"/>
          </w:tcPr>
          <w:p>
            <w:pPr>
              <w:spacing w:after="20"/>
            </w:pPr>
            <w:r/>
            <w:r>
              <w:rPr>
                <w:sz w:val="19"/>
              </w:rPr>
              <w:t>신규 마이그 번호=현재 최대+1(충돌 검사)</w:t>
            </w:r>
          </w:p>
        </w:tc>
      </w:tr>
      <w:tr>
        <w:tc>
          <w:tcPr>
            <w:tcW w:type="dxa" w:w="1928"/>
          </w:tcPr>
          <w:p>
            <w:pPr>
              <w:spacing w:after="20"/>
            </w:pPr>
            <w:r/>
            <w:r>
              <w:rPr>
                <w:sz w:val="19"/>
              </w:rPr>
              <w:t>설정/환경변수</w:t>
            </w:r>
          </w:p>
        </w:tc>
        <w:tc>
          <w:tcPr>
            <w:tcW w:type="dxa" w:w="3175"/>
          </w:tcPr>
          <w:p>
            <w:pPr>
              <w:spacing w:after="20"/>
            </w:pPr>
            <w:r/>
            <w:r>
              <w:rPr>
                <w:sz w:val="19"/>
              </w:rPr>
              <w:t>env 주입·시크릿 분리</w:t>
            </w:r>
          </w:p>
        </w:tc>
        <w:tc>
          <w:tcPr>
            <w:tcW w:type="dxa" w:w="3969"/>
          </w:tcPr>
          <w:p>
            <w:pPr>
              <w:spacing w:after="20"/>
            </w:pPr>
            <w:r/>
            <w:r>
              <w:rPr>
                <w:sz w:val="19"/>
              </w:rPr>
              <w:t>키·비번은 형상에서 제외(gitignore)</w:t>
            </w:r>
          </w:p>
        </w:tc>
      </w:tr>
      <w:tr>
        <w:tc>
          <w:tcPr>
            <w:tcW w:type="dxa" w:w="1928"/>
          </w:tcPr>
          <w:p>
            <w:pPr>
              <w:spacing w:after="20"/>
            </w:pPr>
            <w:r/>
            <w:r>
              <w:rPr>
                <w:sz w:val="19"/>
              </w:rPr>
              <w:t>배포</w:t>
            </w:r>
          </w:p>
        </w:tc>
        <w:tc>
          <w:tcPr>
            <w:tcW w:type="dxa" w:w="3175"/>
          </w:tcPr>
          <w:p>
            <w:pPr>
              <w:spacing w:after="20"/>
            </w:pPr>
            <w:r/>
            <w:r>
              <w:rPr>
                <w:sz w:val="19"/>
              </w:rPr>
              <w:t>CI/CD Webhook·헬스게이트</w:t>
            </w:r>
          </w:p>
        </w:tc>
        <w:tc>
          <w:tcPr>
            <w:tcW w:type="dxa" w:w="3969"/>
          </w:tcPr>
          <w:p>
            <w:pPr>
              <w:spacing w:after="20"/>
            </w:pPr>
            <w:r/>
            <w:r>
              <w:rPr>
                <w:sz w:val="19"/>
              </w:rPr>
              <w:t>실패 시 자동 롤백</w:t>
            </w:r>
          </w:p>
        </w:tc>
      </w:tr>
    </w:tbl>
    <w:p>
      <w:pPr>
        <w:spacing w:after="80"/>
      </w:pPr>
    </w:p>
    <w:p/>
    <w:p>
      <w:pPr>
        <w:spacing w:after="120"/>
        <w:jc w:val="center"/>
      </w:pPr>
      <w:r>
        <w:rPr>
          <w:b w:val="0"/>
          <w:i/>
          <w:color w:val="555F6B"/>
          <w:sz w:val="18"/>
        </w:rPr>
        <w:t>— 본 사업수행계획서는 행정안전부 정보화사업 산출물 표준 목차를 준용하여 킨텍스 자동전시시스템 구축 사업의 원본 내용으로 작성되었다. —</w:t>
      </w:r>
    </w:p>
    <w:sectPr w:rsidR="00FC693F" w:rsidRPr="0006063C" w:rsidSect="00034616">
      <w:pgSz w:w="12240" w:h="15840"/>
      <w:pgMar w:top="1247" w:right="130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 w:cs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맑은 고딕" w:hAnsi="맑은 고딕" w:eastAsia="맑은 고딕" w:cs="맑은 고딕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맑은 고딕" w:hAnsi="맑은 고딕" w:eastAsia="맑은 고딕" w:cs="맑은 고딕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맑은 고딕" w:hAnsi="맑은 고딕" w:eastAsia="맑은 고딕" w:cs="맑은 고딕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